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charts/chartEx2.xml" ContentType="application/vnd.ms-office.chartex+xml"/>
  <Override PartName="/word/charts/style2.xml" ContentType="application/vnd.ms-office.chartstyle+xml"/>
  <Override PartName="/word/charts/colors2.xml" ContentType="application/vnd.ms-office.chartcolorstyle+xml"/>
  <Override PartName="/word/charts/chartEx3.xml" ContentType="application/vnd.ms-office.chartex+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FD86B8" w14:textId="7DC01B22" w:rsidR="00150E24" w:rsidRDefault="00150E24" w:rsidP="00150E24">
      <w:pPr>
        <w:jc w:val="center"/>
        <w:rPr>
          <w:rFonts w:ascii="Times New Roman" w:hAnsi="Times New Roman" w:cs="Times New Roman"/>
          <w:b/>
          <w:bCs/>
          <w:sz w:val="28"/>
          <w:szCs w:val="28"/>
        </w:rPr>
      </w:pPr>
      <w:r>
        <w:rPr>
          <w:rFonts w:ascii="Times New Roman" w:hAnsi="Times New Roman" w:cs="Times New Roman"/>
          <w:b/>
          <w:bCs/>
          <w:sz w:val="28"/>
          <w:szCs w:val="28"/>
        </w:rPr>
        <w:t>GENDER COMPETENCIES OF FINAL YEAR SOCIAL WORK STUDENTS UNDER MG UNIVERSITY, KOTTAYAM</w:t>
      </w:r>
    </w:p>
    <w:p w14:paraId="7A884CAD" w14:textId="37AD556D" w:rsidR="00150E24" w:rsidRPr="00150E24" w:rsidRDefault="00150E24" w:rsidP="00150E24">
      <w:pPr>
        <w:jc w:val="center"/>
        <w:rPr>
          <w:rFonts w:ascii="Times New Roman" w:hAnsi="Times New Roman" w:cs="Times New Roman"/>
          <w:b/>
          <w:bCs/>
          <w:sz w:val="28"/>
          <w:szCs w:val="28"/>
        </w:rPr>
      </w:pPr>
      <w:r w:rsidRPr="00150E24">
        <w:rPr>
          <w:rFonts w:ascii="Times New Roman" w:hAnsi="Times New Roman" w:cs="Times New Roman"/>
          <w:b/>
          <w:bCs/>
          <w:sz w:val="28"/>
          <w:szCs w:val="28"/>
        </w:rPr>
        <w:t>A STUDY ON KNOWLEDGE, SKILLS, AND PRACTICE IN ADDRESSING GENDER BASED INEQUALITIES AND VIOLENCE</w:t>
      </w:r>
    </w:p>
    <w:p w14:paraId="0FB30F8A" w14:textId="77777777" w:rsidR="00150E24" w:rsidRPr="00150E24" w:rsidRDefault="00150E24" w:rsidP="00150E24">
      <w:pPr>
        <w:jc w:val="center"/>
        <w:rPr>
          <w:rFonts w:ascii="Times New Roman" w:hAnsi="Times New Roman" w:cs="Times New Roman"/>
          <w:b/>
          <w:bCs/>
          <w:sz w:val="28"/>
          <w:szCs w:val="28"/>
        </w:rPr>
      </w:pPr>
    </w:p>
    <w:p w14:paraId="36262433" w14:textId="77777777" w:rsidR="00150E24" w:rsidRPr="007759C7" w:rsidRDefault="00150E24" w:rsidP="00150E24">
      <w:pPr>
        <w:jc w:val="center"/>
        <w:rPr>
          <w:rFonts w:ascii="Times New Roman" w:hAnsi="Times New Roman" w:cs="Times New Roman"/>
          <w:b/>
          <w:bCs/>
          <w:sz w:val="28"/>
          <w:szCs w:val="28"/>
        </w:rPr>
      </w:pPr>
      <w:r w:rsidRPr="007759C7">
        <w:rPr>
          <w:rFonts w:ascii="Times New Roman" w:hAnsi="Times New Roman" w:cs="Times New Roman"/>
          <w:b/>
          <w:bCs/>
          <w:sz w:val="28"/>
          <w:szCs w:val="28"/>
        </w:rPr>
        <w:t>Dissertation submitted to</w:t>
      </w:r>
    </w:p>
    <w:p w14:paraId="70478CD2" w14:textId="77777777" w:rsidR="00150E24" w:rsidRDefault="00150E24" w:rsidP="00150E24">
      <w:pPr>
        <w:jc w:val="center"/>
        <w:rPr>
          <w:rFonts w:ascii="Times New Roman" w:hAnsi="Times New Roman" w:cs="Times New Roman"/>
          <w:b/>
          <w:bCs/>
          <w:sz w:val="28"/>
          <w:szCs w:val="28"/>
        </w:rPr>
      </w:pPr>
      <w:r w:rsidRPr="007759C7">
        <w:rPr>
          <w:rFonts w:ascii="Times New Roman" w:hAnsi="Times New Roman" w:cs="Times New Roman"/>
          <w:b/>
          <w:bCs/>
          <w:sz w:val="28"/>
          <w:szCs w:val="28"/>
        </w:rPr>
        <w:t>Mahatma Gandhi University, Kottayam in partial fulfillment of the requirement for the degree of</w:t>
      </w:r>
    </w:p>
    <w:p w14:paraId="03F23B65" w14:textId="77777777" w:rsidR="00150E24" w:rsidRPr="007759C7" w:rsidRDefault="00150E24" w:rsidP="00150E24">
      <w:pPr>
        <w:jc w:val="center"/>
        <w:rPr>
          <w:rFonts w:ascii="Times New Roman" w:hAnsi="Times New Roman" w:cs="Times New Roman"/>
          <w:b/>
          <w:bCs/>
          <w:sz w:val="28"/>
          <w:szCs w:val="28"/>
        </w:rPr>
      </w:pPr>
    </w:p>
    <w:p w14:paraId="7EDD42C4" w14:textId="77777777" w:rsidR="00150E24" w:rsidRDefault="00150E24" w:rsidP="00150E24">
      <w:pPr>
        <w:jc w:val="center"/>
        <w:rPr>
          <w:rFonts w:ascii="Times New Roman" w:hAnsi="Times New Roman" w:cs="Times New Roman"/>
          <w:b/>
          <w:bCs/>
          <w:sz w:val="28"/>
          <w:szCs w:val="28"/>
        </w:rPr>
      </w:pPr>
      <w:r w:rsidRPr="007759C7">
        <w:rPr>
          <w:rFonts w:ascii="Times New Roman" w:hAnsi="Times New Roman" w:cs="Times New Roman"/>
          <w:b/>
          <w:bCs/>
          <w:sz w:val="28"/>
          <w:szCs w:val="28"/>
        </w:rPr>
        <w:t>MASTER OF SOCIAL WORK</w:t>
      </w:r>
    </w:p>
    <w:p w14:paraId="0957586F" w14:textId="77777777" w:rsidR="00150E24" w:rsidRPr="007759C7" w:rsidRDefault="00150E24" w:rsidP="00150E24">
      <w:pPr>
        <w:jc w:val="center"/>
        <w:rPr>
          <w:rFonts w:ascii="Times New Roman" w:hAnsi="Times New Roman" w:cs="Times New Roman"/>
          <w:b/>
          <w:bCs/>
          <w:sz w:val="28"/>
          <w:szCs w:val="28"/>
        </w:rPr>
      </w:pPr>
    </w:p>
    <w:p w14:paraId="76E85E48" w14:textId="77777777" w:rsidR="00150E24" w:rsidRPr="007759C7" w:rsidRDefault="00150E24" w:rsidP="00150E24">
      <w:pPr>
        <w:jc w:val="center"/>
        <w:rPr>
          <w:rFonts w:ascii="Times New Roman" w:hAnsi="Times New Roman" w:cs="Times New Roman"/>
          <w:b/>
          <w:bCs/>
          <w:sz w:val="28"/>
          <w:szCs w:val="28"/>
        </w:rPr>
      </w:pPr>
      <w:r w:rsidRPr="007759C7">
        <w:rPr>
          <w:rFonts w:ascii="Times New Roman" w:hAnsi="Times New Roman" w:cs="Times New Roman"/>
          <w:b/>
          <w:bCs/>
          <w:sz w:val="28"/>
          <w:szCs w:val="28"/>
        </w:rPr>
        <w:t>Specializing in</w:t>
      </w:r>
    </w:p>
    <w:p w14:paraId="051FFBEE" w14:textId="7397B1B4" w:rsidR="00150E24" w:rsidRDefault="00150E24" w:rsidP="00150E24">
      <w:pPr>
        <w:jc w:val="center"/>
        <w:rPr>
          <w:rFonts w:ascii="Times New Roman" w:hAnsi="Times New Roman" w:cs="Times New Roman"/>
          <w:b/>
          <w:bCs/>
          <w:sz w:val="28"/>
          <w:szCs w:val="28"/>
        </w:rPr>
      </w:pPr>
      <w:r>
        <w:rPr>
          <w:rFonts w:ascii="Times New Roman" w:hAnsi="Times New Roman" w:cs="Times New Roman"/>
          <w:b/>
          <w:bCs/>
          <w:sz w:val="28"/>
          <w:szCs w:val="28"/>
        </w:rPr>
        <w:t>MEDICAL AND PSYCHIATRY</w:t>
      </w:r>
    </w:p>
    <w:p w14:paraId="1D8949D1" w14:textId="77777777" w:rsidR="00150E24" w:rsidRPr="007759C7" w:rsidRDefault="00150E24" w:rsidP="00150E24">
      <w:pPr>
        <w:jc w:val="center"/>
        <w:rPr>
          <w:rFonts w:ascii="Times New Roman" w:hAnsi="Times New Roman" w:cs="Times New Roman"/>
          <w:b/>
          <w:bCs/>
          <w:sz w:val="28"/>
          <w:szCs w:val="28"/>
        </w:rPr>
      </w:pPr>
    </w:p>
    <w:p w14:paraId="371094F4" w14:textId="77777777" w:rsidR="00150E24" w:rsidRPr="007759C7" w:rsidRDefault="00150E24" w:rsidP="00150E24">
      <w:pPr>
        <w:jc w:val="center"/>
        <w:rPr>
          <w:rFonts w:ascii="Times New Roman" w:hAnsi="Times New Roman" w:cs="Times New Roman"/>
          <w:b/>
          <w:bCs/>
          <w:sz w:val="28"/>
          <w:szCs w:val="28"/>
        </w:rPr>
      </w:pPr>
      <w:r w:rsidRPr="007759C7">
        <w:rPr>
          <w:rFonts w:ascii="Times New Roman" w:hAnsi="Times New Roman" w:cs="Times New Roman"/>
          <w:b/>
          <w:bCs/>
          <w:sz w:val="28"/>
          <w:szCs w:val="28"/>
        </w:rPr>
        <w:t>Submitted by,</w:t>
      </w:r>
    </w:p>
    <w:p w14:paraId="7C4B193E" w14:textId="77777777" w:rsidR="00150E24" w:rsidRDefault="00150E24" w:rsidP="00150E24">
      <w:pPr>
        <w:jc w:val="center"/>
        <w:rPr>
          <w:rFonts w:ascii="Times New Roman" w:hAnsi="Times New Roman" w:cs="Times New Roman"/>
          <w:b/>
          <w:bCs/>
          <w:sz w:val="28"/>
          <w:szCs w:val="28"/>
        </w:rPr>
      </w:pPr>
      <w:bookmarkStart w:id="0" w:name="_Hlk200916918"/>
      <w:r>
        <w:rPr>
          <w:rFonts w:ascii="Times New Roman" w:hAnsi="Times New Roman" w:cs="Times New Roman"/>
          <w:b/>
          <w:bCs/>
          <w:sz w:val="28"/>
          <w:szCs w:val="28"/>
        </w:rPr>
        <w:t>ARKKA P. REGHU</w:t>
      </w:r>
    </w:p>
    <w:p w14:paraId="385EA79D" w14:textId="16F6AC70" w:rsidR="00150E24" w:rsidRPr="007759C7" w:rsidRDefault="00150E24" w:rsidP="00150E24">
      <w:pPr>
        <w:jc w:val="center"/>
        <w:rPr>
          <w:rFonts w:ascii="Times New Roman" w:hAnsi="Times New Roman" w:cs="Times New Roman"/>
          <w:b/>
          <w:bCs/>
          <w:sz w:val="28"/>
          <w:szCs w:val="28"/>
        </w:rPr>
      </w:pPr>
      <w:r w:rsidRPr="007759C7">
        <w:rPr>
          <w:rFonts w:ascii="Times New Roman" w:hAnsi="Times New Roman" w:cs="Times New Roman"/>
          <w:b/>
          <w:bCs/>
          <w:sz w:val="28"/>
          <w:szCs w:val="28"/>
        </w:rPr>
        <w:t>Reg. No. 2300110</w:t>
      </w:r>
      <w:r>
        <w:rPr>
          <w:rFonts w:ascii="Times New Roman" w:hAnsi="Times New Roman" w:cs="Times New Roman"/>
          <w:b/>
          <w:bCs/>
          <w:sz w:val="28"/>
          <w:szCs w:val="28"/>
        </w:rPr>
        <w:t>3</w:t>
      </w:r>
      <w:r>
        <w:rPr>
          <w:rFonts w:ascii="Times New Roman" w:hAnsi="Times New Roman" w:cs="Times New Roman"/>
          <w:b/>
          <w:bCs/>
          <w:sz w:val="28"/>
          <w:szCs w:val="28"/>
        </w:rPr>
        <w:t>0154</w:t>
      </w:r>
    </w:p>
    <w:bookmarkEnd w:id="0"/>
    <w:p w14:paraId="225101FC" w14:textId="77777777" w:rsidR="00150E24" w:rsidRPr="007759C7" w:rsidRDefault="00150E24" w:rsidP="00150E24">
      <w:pPr>
        <w:jc w:val="center"/>
        <w:rPr>
          <w:rFonts w:ascii="Times New Roman" w:hAnsi="Times New Roman" w:cs="Times New Roman"/>
          <w:b/>
          <w:bCs/>
          <w:sz w:val="28"/>
          <w:szCs w:val="28"/>
        </w:rPr>
      </w:pPr>
      <w:r w:rsidRPr="007759C7">
        <w:rPr>
          <w:rFonts w:ascii="Times New Roman" w:hAnsi="Times New Roman" w:cs="Times New Roman"/>
          <w:b/>
          <w:bCs/>
          <w:sz w:val="28"/>
          <w:szCs w:val="28"/>
        </w:rPr>
        <w:t>Under the guidance of,</w:t>
      </w:r>
    </w:p>
    <w:p w14:paraId="18C5F31F" w14:textId="596B2509" w:rsidR="00150E24" w:rsidRPr="007759C7" w:rsidRDefault="00150E24" w:rsidP="00150E24">
      <w:pPr>
        <w:jc w:val="center"/>
        <w:rPr>
          <w:rFonts w:ascii="Times New Roman" w:hAnsi="Times New Roman" w:cs="Times New Roman"/>
          <w:b/>
          <w:bCs/>
          <w:sz w:val="28"/>
          <w:szCs w:val="28"/>
        </w:rPr>
      </w:pPr>
      <w:r w:rsidRPr="007759C7">
        <w:rPr>
          <w:rFonts w:ascii="Times New Roman" w:hAnsi="Times New Roman" w:cs="Times New Roman"/>
          <w:b/>
          <w:bCs/>
          <w:sz w:val="28"/>
          <w:szCs w:val="28"/>
        </w:rPr>
        <w:t xml:space="preserve">DR. </w:t>
      </w:r>
      <w:r>
        <w:rPr>
          <w:rFonts w:ascii="Times New Roman" w:hAnsi="Times New Roman" w:cs="Times New Roman"/>
          <w:b/>
          <w:bCs/>
          <w:sz w:val="28"/>
          <w:szCs w:val="28"/>
        </w:rPr>
        <w:t>ARYA CHANDRAN</w:t>
      </w:r>
    </w:p>
    <w:p w14:paraId="7D0CA62E" w14:textId="77777777" w:rsidR="00150E24" w:rsidRPr="007759C7" w:rsidRDefault="00150E24" w:rsidP="00150E24">
      <w:pPr>
        <w:jc w:val="center"/>
        <w:rPr>
          <w:rFonts w:ascii="Times New Roman" w:hAnsi="Times New Roman" w:cs="Times New Roman"/>
          <w:b/>
          <w:bCs/>
          <w:sz w:val="28"/>
          <w:szCs w:val="28"/>
        </w:rPr>
      </w:pPr>
      <w:r w:rsidRPr="007759C7">
        <w:rPr>
          <w:rFonts w:ascii="Times New Roman" w:hAnsi="Times New Roman" w:cs="Times New Roman"/>
          <w:b/>
          <w:bCs/>
          <w:noProof/>
          <w:sz w:val="28"/>
          <w:szCs w:val="28"/>
        </w:rPr>
        <w:drawing>
          <wp:inline distT="0" distB="0" distL="0" distR="0" wp14:anchorId="14101CBC" wp14:editId="492B1CEE">
            <wp:extent cx="2306151" cy="1729740"/>
            <wp:effectExtent l="0" t="0" r="0" b="3810"/>
            <wp:docPr id="5176797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679751" name="Picture 51767975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14217" cy="1735790"/>
                    </a:xfrm>
                    <a:prstGeom prst="rect">
                      <a:avLst/>
                    </a:prstGeom>
                  </pic:spPr>
                </pic:pic>
              </a:graphicData>
            </a:graphic>
          </wp:inline>
        </w:drawing>
      </w:r>
    </w:p>
    <w:p w14:paraId="69501C35" w14:textId="77777777" w:rsidR="00150E24" w:rsidRPr="007759C7" w:rsidRDefault="00150E24" w:rsidP="00150E24">
      <w:pPr>
        <w:jc w:val="center"/>
        <w:rPr>
          <w:rFonts w:ascii="Times New Roman" w:hAnsi="Times New Roman" w:cs="Times New Roman"/>
          <w:b/>
          <w:bCs/>
          <w:sz w:val="28"/>
          <w:szCs w:val="28"/>
        </w:rPr>
      </w:pPr>
      <w:r w:rsidRPr="007759C7">
        <w:rPr>
          <w:rFonts w:ascii="Times New Roman" w:hAnsi="Times New Roman" w:cs="Times New Roman"/>
          <w:b/>
          <w:bCs/>
          <w:sz w:val="28"/>
          <w:szCs w:val="28"/>
        </w:rPr>
        <w:t>Bharata Mata School of Social Work, Thrikkakara, Kochi – 21</w:t>
      </w:r>
    </w:p>
    <w:p w14:paraId="415713DE" w14:textId="77777777" w:rsidR="00150E24" w:rsidRPr="007759C7" w:rsidRDefault="00150E24" w:rsidP="00150E24">
      <w:pPr>
        <w:jc w:val="center"/>
        <w:rPr>
          <w:rFonts w:ascii="Times New Roman" w:hAnsi="Times New Roman" w:cs="Times New Roman"/>
          <w:b/>
          <w:bCs/>
          <w:sz w:val="28"/>
          <w:szCs w:val="28"/>
        </w:rPr>
      </w:pPr>
      <w:r w:rsidRPr="007759C7">
        <w:rPr>
          <w:rFonts w:ascii="Times New Roman" w:hAnsi="Times New Roman" w:cs="Times New Roman"/>
          <w:b/>
          <w:bCs/>
          <w:sz w:val="28"/>
          <w:szCs w:val="28"/>
        </w:rPr>
        <w:t>(Affiliated to Mahatma Gandhi University, Kottayam)</w:t>
      </w:r>
    </w:p>
    <w:p w14:paraId="06A16A93" w14:textId="44A1F3BB" w:rsidR="00150E24" w:rsidRDefault="00150E24" w:rsidP="00150E24">
      <w:pPr>
        <w:jc w:val="center"/>
      </w:pPr>
      <w:r w:rsidRPr="007759C7">
        <w:rPr>
          <w:rFonts w:ascii="Times New Roman" w:hAnsi="Times New Roman" w:cs="Times New Roman"/>
          <w:b/>
          <w:bCs/>
          <w:sz w:val="28"/>
          <w:szCs w:val="28"/>
        </w:rPr>
        <w:t>(2023 – 25)</w:t>
      </w:r>
      <w:r>
        <w:br w:type="page"/>
      </w:r>
    </w:p>
    <w:p w14:paraId="769F2B33" w14:textId="77777777" w:rsidR="008C4807" w:rsidRDefault="008C4807" w:rsidP="008871AF"/>
    <w:p w14:paraId="15B98627" w14:textId="77777777" w:rsidR="008C4807" w:rsidRDefault="008C4807" w:rsidP="008871AF"/>
    <w:p w14:paraId="33E82BEC" w14:textId="77777777" w:rsidR="008C4807" w:rsidRDefault="008C4807" w:rsidP="008871AF"/>
    <w:p w14:paraId="60B46444" w14:textId="77777777" w:rsidR="008C4807" w:rsidRDefault="008C4807" w:rsidP="008871AF"/>
    <w:p w14:paraId="15224FCB" w14:textId="77777777" w:rsidR="008C4807" w:rsidRDefault="008C4807" w:rsidP="008871AF"/>
    <w:p w14:paraId="3D96E6A3" w14:textId="77777777" w:rsidR="008C4807" w:rsidRDefault="008C4807" w:rsidP="008871AF"/>
    <w:p w14:paraId="5E973E4E" w14:textId="77777777" w:rsidR="008C4807" w:rsidRDefault="008C4807" w:rsidP="008871AF"/>
    <w:p w14:paraId="4BB0E9F6" w14:textId="77777777" w:rsidR="008C4807" w:rsidRDefault="008C4807" w:rsidP="008871AF"/>
    <w:p w14:paraId="3EB8A93C" w14:textId="77777777" w:rsidR="008C4807" w:rsidRDefault="008C4807" w:rsidP="008871AF"/>
    <w:p w14:paraId="5C41398E" w14:textId="77777777" w:rsidR="008C4807" w:rsidRDefault="008C4807" w:rsidP="008871AF"/>
    <w:p w14:paraId="281DBDF5" w14:textId="77777777" w:rsidR="008C4807" w:rsidRDefault="008C4807" w:rsidP="008871AF"/>
    <w:p w14:paraId="4A99D15F" w14:textId="77777777" w:rsidR="008C4807" w:rsidRDefault="008C4807" w:rsidP="008871AF"/>
    <w:p w14:paraId="08B4F77A" w14:textId="77777777" w:rsidR="008C4807" w:rsidRDefault="008C4807" w:rsidP="008871AF"/>
    <w:p w14:paraId="4847BFF8" w14:textId="77777777" w:rsidR="008C4807" w:rsidRDefault="008C4807" w:rsidP="008871AF"/>
    <w:p w14:paraId="24EE906D" w14:textId="77777777" w:rsidR="008C4807" w:rsidRDefault="008C4807" w:rsidP="008871AF"/>
    <w:p w14:paraId="45B46F95" w14:textId="6227CF77" w:rsidR="005D0785" w:rsidRDefault="005D0785" w:rsidP="008871AF">
      <w:r>
        <w:t xml:space="preserve">                                                                       </w:t>
      </w:r>
      <w:r w:rsidRPr="005D0785">
        <w:t>CHAPTER 1</w:t>
      </w:r>
    </w:p>
    <w:p w14:paraId="5590A88E" w14:textId="3C9DBDAE" w:rsidR="008C4807" w:rsidRDefault="005D0785" w:rsidP="008871AF">
      <w:r>
        <w:t xml:space="preserve">                                                           </w:t>
      </w:r>
      <w:r w:rsidR="009D2575">
        <w:t xml:space="preserve"> </w:t>
      </w:r>
      <w:r>
        <w:t xml:space="preserve">     </w:t>
      </w:r>
      <w:r w:rsidRPr="005D0785">
        <w:t xml:space="preserve"> INTRODUCTION</w:t>
      </w:r>
    </w:p>
    <w:p w14:paraId="59419510" w14:textId="77777777" w:rsidR="008C4807" w:rsidRDefault="008C4807" w:rsidP="008871AF"/>
    <w:p w14:paraId="5F37E4F0" w14:textId="77777777" w:rsidR="008C4807" w:rsidRDefault="008C4807" w:rsidP="008871AF"/>
    <w:p w14:paraId="620D9546" w14:textId="77777777" w:rsidR="008C4807" w:rsidRDefault="008C4807" w:rsidP="008871AF"/>
    <w:p w14:paraId="1D230752" w14:textId="77777777" w:rsidR="008C4807" w:rsidRDefault="008C4807" w:rsidP="008871AF"/>
    <w:p w14:paraId="201396FA" w14:textId="77777777" w:rsidR="008C4807" w:rsidRDefault="008C4807" w:rsidP="008871AF"/>
    <w:p w14:paraId="02B40359" w14:textId="77777777" w:rsidR="008C4807" w:rsidRDefault="008C4807" w:rsidP="008871AF"/>
    <w:p w14:paraId="12BB3FEE" w14:textId="77777777" w:rsidR="008C4807" w:rsidRDefault="008C4807" w:rsidP="008871AF"/>
    <w:p w14:paraId="40CEC8BB" w14:textId="77777777" w:rsidR="00AC3C3F" w:rsidRDefault="00AC3C3F" w:rsidP="008871AF"/>
    <w:p w14:paraId="4DA4F9A0" w14:textId="77777777" w:rsidR="00AC3C3F" w:rsidRDefault="00AC3C3F" w:rsidP="008871AF"/>
    <w:p w14:paraId="7A8B6304" w14:textId="77777777" w:rsidR="00AC3C3F" w:rsidRDefault="00AC3C3F" w:rsidP="008871AF"/>
    <w:p w14:paraId="70C189DC" w14:textId="77777777" w:rsidR="00AC3C3F" w:rsidRDefault="00AC3C3F" w:rsidP="008871AF"/>
    <w:p w14:paraId="6F2FA07A" w14:textId="77777777" w:rsidR="00AC3C3F" w:rsidRDefault="00AC3C3F" w:rsidP="008871AF"/>
    <w:p w14:paraId="6AD6067F" w14:textId="77777777" w:rsidR="00AC3C3F" w:rsidRDefault="00AC3C3F" w:rsidP="008871AF"/>
    <w:p w14:paraId="149F225B" w14:textId="77777777" w:rsidR="00AC3C3F" w:rsidRDefault="00AC3C3F" w:rsidP="008871AF"/>
    <w:p w14:paraId="66267916" w14:textId="77777777" w:rsidR="00AC3C3F" w:rsidRDefault="00AC3C3F" w:rsidP="008871AF"/>
    <w:p w14:paraId="3DBDCDBE" w14:textId="77777777" w:rsidR="00AC3C3F" w:rsidRDefault="00AC3C3F" w:rsidP="008871AF"/>
    <w:p w14:paraId="27404008" w14:textId="77777777" w:rsidR="00AC3C3F" w:rsidRDefault="00AC3C3F" w:rsidP="008871AF"/>
    <w:p w14:paraId="00F58428" w14:textId="77777777" w:rsidR="00AC3C3F" w:rsidRDefault="00AC3C3F" w:rsidP="00372F83">
      <w:pPr>
        <w:spacing w:line="480" w:lineRule="auto"/>
      </w:pPr>
    </w:p>
    <w:p w14:paraId="350C7CF4" w14:textId="77777777" w:rsidR="00AC3C3F" w:rsidRDefault="00AC3C3F" w:rsidP="00372F83">
      <w:pPr>
        <w:spacing w:line="480" w:lineRule="auto"/>
      </w:pPr>
    </w:p>
    <w:p w14:paraId="2FBFF8C2" w14:textId="77777777" w:rsidR="005F71CA" w:rsidRDefault="00144077" w:rsidP="00B330CB">
      <w:r w:rsidRPr="00144077">
        <w:t xml:space="preserve">Gender-based inequalities and violence continue to be pervasive challenges that transcend borders, affecting individuals and communities across the globe. These issues are deeply embedded in historical and contemporary socio-cultural, economic, and political structures that perpetuate discrimination, marginalization, and power imbalances, particularly against women and girls. The World Health Organization (WHO, 2021) reports that nearly one in three women globally has experienced physical or sexual violence in her lifetime, a stark indicator of the widespread nature of this human rights violation. Such alarming statistics underscore the urgent need for comprehensive and gender-sensitive approaches to prevention and intervention. </w:t>
      </w:r>
    </w:p>
    <w:p w14:paraId="196E326A" w14:textId="69DC00C7" w:rsidR="00E34676" w:rsidRDefault="00B47C38" w:rsidP="00B330CB">
      <w:r>
        <w:t xml:space="preserve">                                    </w:t>
      </w:r>
      <w:r w:rsidR="00144077" w:rsidRPr="00144077">
        <w:t xml:space="preserve">In response to these global concerns, the United Nations has placed gender equality at the heart of its Sustainable Development Goals (SDGs). Specifically, Goal 5 calls for the elimination of all forms of discrimination and violence against women and girls, as a foundational step toward achieving inclusive and equitable development. Addressing gender-based violence and inequality is not only a moral imperative but also essential for the advancement of social justice, public health, and </w:t>
      </w:r>
      <w:r w:rsidR="007E12D2">
        <w:t>sustainability.</w:t>
      </w:r>
    </w:p>
    <w:p w14:paraId="5E79651A" w14:textId="77777777" w:rsidR="0082705E" w:rsidRDefault="0082705E" w:rsidP="00B330CB"/>
    <w:p w14:paraId="51381D70" w14:textId="77777777" w:rsidR="00127447" w:rsidRDefault="00B47C38" w:rsidP="00B330CB">
      <w:r>
        <w:t xml:space="preserve">      </w:t>
      </w:r>
      <w:r w:rsidR="0082705E">
        <w:t xml:space="preserve">Social Work professionals are ethically committed to human rights and social change and as such, equipped to address these issues. They are fighting on the front lines, providing care through counseling, advocacy, community outreach and policy making. However, the extent to which these interventions are successful often depends on how well equipped they are in terms of gender competence— the knowledge, understanding, and skills necessary to make sense of the complex processes involved in gender-based disparities. Lack of knowledge and/or preparation in </w:t>
      </w:r>
      <w:proofErr w:type="spellStart"/>
      <w:r w:rsidR="0082705E">
        <w:t>gendersensitive</w:t>
      </w:r>
      <w:proofErr w:type="spellEnd"/>
      <w:r w:rsidR="0082705E">
        <w:t xml:space="preserve"> practice may leave social workers without the </w:t>
      </w:r>
    </w:p>
    <w:p w14:paraId="3396271E" w14:textId="77777777" w:rsidR="00127447" w:rsidRDefault="00127447" w:rsidP="00B330CB"/>
    <w:p w14:paraId="75DA167D" w14:textId="77777777" w:rsidR="00127447" w:rsidRDefault="00127447" w:rsidP="00B330CB"/>
    <w:p w14:paraId="1D4BABCA" w14:textId="77777777" w:rsidR="00127447" w:rsidRDefault="00127447" w:rsidP="00B330CB"/>
    <w:p w14:paraId="263BC55B" w14:textId="231A3F8B" w:rsidR="0034334A" w:rsidRDefault="0082705E" w:rsidP="00B330CB">
      <w:r>
        <w:t>fundamental understanding necessary to offer the informed and nuanced support survivors and systemically marginalized individuals require.</w:t>
      </w:r>
      <w:r w:rsidR="00B47C38">
        <w:t xml:space="preserve">           </w:t>
      </w:r>
      <w:r w:rsidR="007E0CE2">
        <w:t xml:space="preserve">                                       </w:t>
      </w:r>
    </w:p>
    <w:p w14:paraId="0119934D" w14:textId="5EFBA5D3" w:rsidR="0034334A" w:rsidRDefault="005A3CFC" w:rsidP="00B330CB">
      <w:r>
        <w:t>It is therefore paramount to enhance social workers’ gender competence, so that they can respond effectively to gender-based violence and inequality. This paper explores the importance of gender competence in social work practice and identifies ways in which this can be enhanced to build enabling, safe and equitable societies.</w:t>
      </w:r>
    </w:p>
    <w:p w14:paraId="3293440E" w14:textId="77777777" w:rsidR="006216D6" w:rsidRDefault="006216D6" w:rsidP="00B330CB"/>
    <w:p w14:paraId="73D32705" w14:textId="20C8BC1F" w:rsidR="006216D6" w:rsidRDefault="006216D6" w:rsidP="00B330CB"/>
    <w:p w14:paraId="645AF06E" w14:textId="77777777" w:rsidR="006216D6" w:rsidRDefault="006216D6" w:rsidP="00B330CB"/>
    <w:p w14:paraId="559CC77A" w14:textId="44C5B0A8" w:rsidR="00FC1B08" w:rsidRDefault="00144077" w:rsidP="00B330CB">
      <w:r w:rsidRPr="00144077">
        <w:t xml:space="preserve"> </w:t>
      </w:r>
      <w:r w:rsidR="00354012">
        <w:t xml:space="preserve">Social work as an academic discipline is conceptually grounded in notions of social justice, equality, and human rights There, is, however, a significant divide between this abstract ideal, and that which surfaces through, professional training. Social work education should include gender-sensitive perspectives so that future social work professionals are able to recognize, understand, and address gender-based inequalities. Yet evidence reveals persistent gaps in the design or curriculum, teaching methods and field practice, especially in preparing students to mobilize against gender-based violence (GBV) and gender inequality. Citing Santhya and </w:t>
      </w:r>
      <w:proofErr w:type="spellStart"/>
      <w:r w:rsidR="00354012">
        <w:t>Jejeebhoy</w:t>
      </w:r>
      <w:proofErr w:type="spellEnd"/>
      <w:r w:rsidR="00354012">
        <w:t xml:space="preserve"> (2020), although there has been an increase in awareness, many social work programs still come up short in providing complete and practical gender education. International The emphasis on feminist social work, intersectional analysis and the integration of gender-sensitive methodologies in professional education has been powerful internationally. These frameworks insist on an intersectional understanding of the part that gender plays with other social categories—caste, class, religion, and sexual orientation—and how this plays out in one’s privileges and oppressions. However, little research has been conducted on the actual process through which the current strategy is being operationalized in the context of India, focusing on a specific state like Kerala. Particularly noteworthy is this region variation as Kerala has the highest social indices and active civil society, representing possibility as well as challenges in advocating for gender justice in the social work. More specific to the present study, it relates to the final year Master of Social Work (MSW) students studying in colleges under Mahatma Gandhi (MG) University of Kerala. The main objective is to test their gender competencies in three fundamental areas:</w:t>
      </w:r>
    </w:p>
    <w:p w14:paraId="250F6680" w14:textId="4049D02C" w:rsidR="00A36A79" w:rsidRDefault="00A36A79" w:rsidP="00B330CB"/>
    <w:p w14:paraId="1BA2B537" w14:textId="77D191DA" w:rsidR="00A36A79" w:rsidRDefault="00A36A79" w:rsidP="00B330CB">
      <w:r w:rsidRPr="00862A43">
        <w:rPr>
          <w:b/>
          <w:bCs/>
        </w:rPr>
        <w:t>1. Knowledge</w:t>
      </w:r>
      <w:r>
        <w:t>:</w:t>
      </w:r>
    </w:p>
    <w:p w14:paraId="37E9C5ED" w14:textId="16CB727E" w:rsidR="00A36A79" w:rsidRDefault="00A36A79" w:rsidP="00B330CB">
      <w:r>
        <w:t xml:space="preserve">This dimension refers to the depth and breadth of students’ theoretical understanding of gender issues and their familiarity with the frameworks that shape gender justice. It includes comprehension of foundational gender theories such as patriarchy, intersectionality, gender roles, hegemonic masculinity, and feminist perspectives that explain the systemic nature of gender-based oppression. Students are also expected to be aware of key national and international legal instruments and policy initiatives aimed at promoting gender equality and combating gender-based violence. These include documents such as the Convention on the Elimination of All Forms of Discrimination Against Women (CEDAW), Sustainable Development </w:t>
      </w:r>
      <w:r>
        <w:lastRenderedPageBreak/>
        <w:t>Goal 5 (Gender Equality), the Protection of Women from Domestic Violence Act (2005), the Sexual Harassment of Women at Workplace (POSH Act), and various state-level gender policies like Kerala’s Gender Park initiatives. A well-developed knowledge base enables students to critically analyze gender inequalities, understand institutional biases, and engage meaningfully in policy discourse. It forms the intellectual foundation upon which all gender-sensitive practice is built.</w:t>
      </w:r>
    </w:p>
    <w:p w14:paraId="1EB03FD7" w14:textId="77777777" w:rsidR="00A36A79" w:rsidRDefault="00A36A79" w:rsidP="00B330CB"/>
    <w:p w14:paraId="3A7D698B" w14:textId="65C9F5E3" w:rsidR="00A36A79" w:rsidRDefault="00A36A79" w:rsidP="00B330CB">
      <w:r w:rsidRPr="00341942">
        <w:rPr>
          <w:b/>
          <w:bCs/>
        </w:rPr>
        <w:t>2. Skills</w:t>
      </w:r>
      <w:r>
        <w:t>:</w:t>
      </w:r>
    </w:p>
    <w:p w14:paraId="0A8497B5" w14:textId="77777777" w:rsidR="00A36A79" w:rsidRDefault="00A36A79" w:rsidP="00B330CB">
      <w:r>
        <w:t xml:space="preserve">Skills encompass the practical competencies and interpersonal abilities required to translate theoretical knowledge into meaningful, ethical, and effective interventions. These include gender-sensitive communication techniques, such as using inclusive language, actively listening to survivors of gender-based violence (GBV), and avoiding re-traumatization during interviews or counseling sessions. It also involves the ability to conduct gender analyses of communities or organizations, facilitate group discussions on sensitive topics, organize awareness campaigns, and apply trauma-informed practices. Furthermore, students must demonstrate advocacy skills—such as lobbying for gender-sensitive policies within institutions, engaging with local governance bodies like Panchayats, or supporting community mobilization efforts around women’s rights and LGBTQ+ inclusion. </w:t>
      </w:r>
      <w:proofErr w:type="spellStart"/>
      <w:r>
        <w:t>Skillful</w:t>
      </w:r>
      <w:proofErr w:type="spellEnd"/>
      <w:r>
        <w:t xml:space="preserve"> social work practice also requires accurate documentation, case management, referral services, and the capacity to work collaboratively with multidisciplinary teams, including legal, healthcare, and mental health professionals. These applied competencies are essential for delivering holistic and impactful support to individuals and communities experiencing gender injustice.</w:t>
      </w:r>
    </w:p>
    <w:p w14:paraId="33794127" w14:textId="72820598" w:rsidR="00A36A79" w:rsidRPr="00341942" w:rsidRDefault="00A36A79" w:rsidP="00B330CB">
      <w:pPr>
        <w:rPr>
          <w:b/>
          <w:bCs/>
        </w:rPr>
      </w:pPr>
      <w:r>
        <w:t xml:space="preserve">3. </w:t>
      </w:r>
      <w:r w:rsidRPr="00341942">
        <w:rPr>
          <w:b/>
          <w:bCs/>
        </w:rPr>
        <w:t>Practice Readiness:</w:t>
      </w:r>
    </w:p>
    <w:p w14:paraId="62E0AA4A" w14:textId="77777777" w:rsidR="00A36A79" w:rsidRDefault="00A36A79" w:rsidP="00B330CB">
      <w:r>
        <w:t xml:space="preserve">Practice readiness signifies the students’ capacity to function confidently and competently in real-world professional settings where gender-based challenges are prevalent. It reflects how well-prepared they are to address complex, dynamic scenarios involving gender discrimination, violence, or exclusion. This dimension assesses students’ ability to integrate their knowledge and skills under practical constraints such as time pressure, limited resources, cultural resistance, and ethical dilemmas. It involves decision-making capabilities, emotional resilience, and adaptability when working with survivors of domestic violence, sexual harassment, or other forms of GBV. Readiness also includes navigating institutional structures—such as police systems, legal aid services, and social welfare departments—to advocate effectively for clients’ rights and protections. Moreover, students must demonstrate an understanding of their professional roles and boundaries, show sensitivity to diverse </w:t>
      </w:r>
      <w:r>
        <w:lastRenderedPageBreak/>
        <w:t>identities and experiences, and maintain ethical standards such as confidentiality and informed consent. In essence, practice readiness is the culmination of academic training, field experience, and ethical grounding, determining the extent to which a student can act as a capable and compassionate agent of social change.</w:t>
      </w:r>
    </w:p>
    <w:p w14:paraId="588D6495" w14:textId="7C1CF5A0" w:rsidR="006216D6" w:rsidRPr="00863EBE" w:rsidRDefault="00874AFE" w:rsidP="00B330CB">
      <w:r>
        <w:t xml:space="preserve"> </w:t>
      </w:r>
      <w:r w:rsidR="000932EB">
        <w:t xml:space="preserve">           </w:t>
      </w:r>
      <w:r w:rsidR="000F6F17" w:rsidRPr="000F6F17">
        <w:t>By evaluating these interconnected areas, the research intends to uncover both the strengths and the limitations of current social work training with regard to gender competence. The findings will contribute to evidence-based recommendations for curriculum reform and capacity-building initiatives, ensuring that social work graduates are better equipped to respond to the complex gender challenges of contemporary society. Furthermore, the insights from this study are expected to be of significant relevance to academic institutions, practitioners, and policymakers who are committed to aligning professional education with the imperatives of gender equality and social transformation in the 21st century.</w:t>
      </w:r>
    </w:p>
    <w:p w14:paraId="3902904A" w14:textId="77777777" w:rsidR="006216D6" w:rsidRDefault="006216D6" w:rsidP="00B330CB">
      <w:pPr>
        <w:rPr>
          <w:b/>
          <w:bCs/>
        </w:rPr>
      </w:pPr>
    </w:p>
    <w:p w14:paraId="4CC9307C" w14:textId="77777777" w:rsidR="00602191" w:rsidRDefault="00602191" w:rsidP="00B330CB">
      <w:pPr>
        <w:rPr>
          <w:b/>
          <w:bCs/>
        </w:rPr>
      </w:pPr>
    </w:p>
    <w:p w14:paraId="1576E835" w14:textId="16B22F31" w:rsidR="00BB1358" w:rsidRDefault="00AC3999" w:rsidP="00B330CB">
      <w:pPr>
        <w:rPr>
          <w:b/>
          <w:bCs/>
        </w:rPr>
      </w:pPr>
      <w:r w:rsidRPr="009D4147">
        <w:rPr>
          <w:b/>
          <w:bCs/>
        </w:rPr>
        <w:t>Gender Competencies as Defined by UNESCO</w:t>
      </w:r>
    </w:p>
    <w:p w14:paraId="41E7410D" w14:textId="77777777" w:rsidR="00602191" w:rsidRDefault="00602191" w:rsidP="00B330CB"/>
    <w:p w14:paraId="2AF5A1C7" w14:textId="5F80804A" w:rsidR="006C5638" w:rsidRDefault="00AC3999" w:rsidP="00B330CB">
      <w:r w:rsidRPr="00BB1358">
        <w:t xml:space="preserve"> </w:t>
      </w:r>
      <w:r w:rsidR="006C5638">
        <w:t>UNESCO’s emphasis on integrating gender competencies into education and professional training is a crucial strategy for fostering gender equality and combating discrimination. The organization recognizes that gender disparities are often ingrained in societal and cultural norms, making it essential to adopt an educational framework that doesn’t just inform but also transforms. By embedding gender competencies into education, UNESCO aims to create awareness and empower individuals to question and overturn these entrenched inequalities.</w:t>
      </w:r>
    </w:p>
    <w:p w14:paraId="2C4C0D43" w14:textId="77777777" w:rsidR="006C5638" w:rsidRDefault="006C5638" w:rsidP="00B330CB"/>
    <w:p w14:paraId="7CA57F21" w14:textId="77777777" w:rsidR="006C5638" w:rsidRDefault="006C5638" w:rsidP="00B330CB">
      <w:r>
        <w:t>Gender competencies, as defined by UNESCO, include a well-rounded set of knowledge, skills, attitudes, and behaviors. These enable individuals to understand and respond effectively to gender-related challenges across various contexts. A theoretical grasp of gender as a social construct is fundamental, along with awareness of relevant national and international gender policies and legal frameworks. Moreover, developing the capacity to identify and address both obvious and subtle forms of gender bias and discrimination is vital.</w:t>
      </w:r>
    </w:p>
    <w:p w14:paraId="740B133D" w14:textId="77777777" w:rsidR="006C5638" w:rsidRDefault="006C5638" w:rsidP="00B330CB"/>
    <w:p w14:paraId="13E4FF58" w14:textId="3726B262" w:rsidR="00810AF2" w:rsidRDefault="006C5638" w:rsidP="00B330CB">
      <w:r>
        <w:t>By advocating for such a comprehensive approach, UNESCO seeks to equip people at all educational and professional levels with the tools necessary to critically engage with and challenge gender norms. This initiative aligns with broader efforts to create more equitable and inclusive societies, where everyone has the opportunity to thrive regardless of gender.</w:t>
      </w:r>
    </w:p>
    <w:p w14:paraId="52B1ADE9" w14:textId="77777777" w:rsidR="003E2FC4" w:rsidRDefault="003E2FC4" w:rsidP="00B330CB"/>
    <w:p w14:paraId="372D5E29" w14:textId="77777777" w:rsidR="00EB1AC9" w:rsidRDefault="003B1EBA" w:rsidP="00B330CB">
      <w:r>
        <w:t xml:space="preserve">                    </w:t>
      </w:r>
      <w:r w:rsidR="00AC3999" w:rsidRPr="00AC3999">
        <w:t xml:space="preserve"> </w:t>
      </w:r>
      <w:r w:rsidR="00EB1AC9">
        <w:t>In addition to knowledge and analytical skills, cultivating gender competence involves fostering significant attitudinal changes. These include nurturing empathy, respecting diversity, and committing to equity—qualities that are vital for individuals to embrace. Practical skills also play a crucial role, such as inclusive communication, effective advocacy, and participatory decision-making. These skills help individuals engage with others in a way that acknowledges and values diverse perspectives and experiences.</w:t>
      </w:r>
    </w:p>
    <w:p w14:paraId="62822B53" w14:textId="77777777" w:rsidR="00EB1AC9" w:rsidRDefault="00EB1AC9" w:rsidP="00B330CB"/>
    <w:p w14:paraId="36C50697" w14:textId="77777777" w:rsidR="00EB1AC9" w:rsidRDefault="00EB1AC9" w:rsidP="00B330CB">
      <w:r>
        <w:t>Such competencies are indispensable for professionals across various sectors, including education, healthcare, governance, and social services. In these fields, professionals frequently encounter diverse populations and face complex situations where gender dynamics play a significant role. By equipping them with gender competencies, these professionals can implement more equitable and inclusive practices.</w:t>
      </w:r>
    </w:p>
    <w:p w14:paraId="3F9A96DD" w14:textId="77777777" w:rsidR="00EB1AC9" w:rsidRDefault="00EB1AC9" w:rsidP="00B330CB"/>
    <w:p w14:paraId="289A651E" w14:textId="3D2F6C33" w:rsidR="00EB1AC9" w:rsidRDefault="00EB1AC9" w:rsidP="00B330CB">
      <w:r>
        <w:t>Beyond professional settings, these competencies are foundational for cultivating inclusive, equitable, and democratic societies. When individuals, communities, and institutions prioritize gender competence, they contribute to a culture of respect and equality. This promotes environments where all individuals, regardless of gender, have the opportunity to participate fully and benefit equally from societal resources and opportunities. Ultimately, UNESCO’s push for integrating gender competencies into education and training is a step towards achieving broader societal transformation and justice.</w:t>
      </w:r>
    </w:p>
    <w:p w14:paraId="19A17CFF" w14:textId="3033FC23" w:rsidR="009D2575" w:rsidRDefault="002A342C" w:rsidP="00B330CB">
      <w:r>
        <w:t xml:space="preserve">  </w:t>
      </w:r>
    </w:p>
    <w:p w14:paraId="16067E25" w14:textId="2AD9628F" w:rsidR="00680392" w:rsidRDefault="00680392" w:rsidP="00B330CB">
      <w:r>
        <w:t>By advocating for gender competencies, UNESCO strives to empower educators, students, and professionals as proactive agents of change. This initiative is deeply connected to UNESCO’s overarching mission to foster peace, eliminate poverty, and promote sustainable development through education that honors human dignity and rights. In this context, gender competence is not merely an ancillary component but a fundamental pillar of effective, ethical, and socially responsible education and professional practice.</w:t>
      </w:r>
    </w:p>
    <w:p w14:paraId="1221FCFA" w14:textId="77777777" w:rsidR="00680392" w:rsidRDefault="00680392" w:rsidP="00B330CB"/>
    <w:p w14:paraId="3CF2CAC1" w14:textId="77777777" w:rsidR="00680392" w:rsidRDefault="00680392" w:rsidP="00B330CB">
      <w:r>
        <w:t xml:space="preserve">Through this integration, individuals across various roles are equipped not only to recognize and challenge gender inequalities but also to actively contribute to creating more inclusive and equitable environments. Educators, for instance, play a crucial role in shaping the attitudes and beliefs of future generations, while professionals can influence policies and systems within their spheres of influence. By embedding gender competencies into educational and </w:t>
      </w:r>
      <w:r>
        <w:lastRenderedPageBreak/>
        <w:t>professional frameworks, UNESCO encourages a ripple effect, where empowered individuals drive systemic change across communities and institutions.</w:t>
      </w:r>
    </w:p>
    <w:p w14:paraId="49590FFA" w14:textId="77777777" w:rsidR="00680392" w:rsidRDefault="00680392" w:rsidP="00B330CB"/>
    <w:p w14:paraId="4E0D4132" w14:textId="77A37E2D" w:rsidR="00810AF2" w:rsidRDefault="00680392" w:rsidP="00B330CB">
      <w:r>
        <w:t>This holistic approach ensures that education is not just about acquiring knowledge but also about instilling values and skills necessary for individuals to participate meaningfully in society. As a core tenet of ethical practice, gender competence facilitates environments that respect and uphold the rights and dignity of all individuals, fostering a culture of peace and sustainability. In this way, UNESCO’s emphasis on gender competencies is instrumental in advancing its goals of creating a world where equity and justice are integral to every aspect of societal development.</w:t>
      </w:r>
    </w:p>
    <w:p w14:paraId="0F79BC7A" w14:textId="77777777" w:rsidR="00810AF2" w:rsidRDefault="00810AF2" w:rsidP="00B330CB"/>
    <w:p w14:paraId="6ED9CC90" w14:textId="77777777" w:rsidR="00BB1358" w:rsidRDefault="00AC3999" w:rsidP="00B330CB">
      <w:r w:rsidRPr="00BB1358">
        <w:rPr>
          <w:b/>
          <w:bCs/>
        </w:rPr>
        <w:t>Dimensions of Gender Competencies: A UNESCO Perspective</w:t>
      </w:r>
      <w:r w:rsidRPr="00AC3999">
        <w:t xml:space="preserve"> </w:t>
      </w:r>
    </w:p>
    <w:p w14:paraId="57AA0736" w14:textId="77777777" w:rsidR="00620713" w:rsidRDefault="00AC3999" w:rsidP="00B330CB">
      <w:r w:rsidRPr="00AC3999">
        <w:t xml:space="preserve">UNESCO defines gender competencies as a holistic set of knowledge, skills, attitudes, and behaviors essential for promoting gender equality and addressing systemic discrimination. These competencies are not only theoretical but are meant to be applied practically across various professional fields such as education, health, governance, and social services. The following four dimensions represent the core pillars of gender competence, as emphasized in UNESCO’s framework: </w:t>
      </w:r>
    </w:p>
    <w:p w14:paraId="5263365F" w14:textId="77777777" w:rsidR="00810AF2" w:rsidRDefault="00810AF2" w:rsidP="00B330CB"/>
    <w:p w14:paraId="59E6B9F0" w14:textId="03781D8F" w:rsidR="000D6023" w:rsidRDefault="00AC3999" w:rsidP="00B330CB">
      <w:pPr>
        <w:pStyle w:val="ListParagraph"/>
        <w:numPr>
          <w:ilvl w:val="0"/>
          <w:numId w:val="1"/>
        </w:numPr>
      </w:pPr>
      <w:r w:rsidRPr="00B72A0A">
        <w:rPr>
          <w:b/>
          <w:bCs/>
          <w:sz w:val="24"/>
          <w:szCs w:val="24"/>
        </w:rPr>
        <w:t>Gender Awareness and Knowledge</w:t>
      </w:r>
      <w:r w:rsidRPr="00AC3999">
        <w:t xml:space="preserve"> This foundational dimension refers to the cognitive understanding of gender-related issues and concepts. It involves:</w:t>
      </w:r>
    </w:p>
    <w:p w14:paraId="55B82E55" w14:textId="77777777" w:rsidR="000D6023" w:rsidRDefault="00AC3999" w:rsidP="00B330CB">
      <w:pPr>
        <w:pStyle w:val="ListParagraph"/>
      </w:pPr>
      <w:r w:rsidRPr="00AC3999">
        <w:t xml:space="preserve"> •</w:t>
      </w:r>
      <w:r w:rsidRPr="00AB77AC">
        <w:rPr>
          <w:b/>
          <w:bCs/>
        </w:rPr>
        <w:t xml:space="preserve"> Grasping Core Gender Concepts</w:t>
      </w:r>
      <w:r w:rsidRPr="00AC3999">
        <w:t>: A clear distinction between sex and gender, along with an understanding of complex terms like patriarchy, gender roles, intersectionality, and hegemonic masculinity. These concepts help individuals critically examine how gender norms shape power relations and social expectations.</w:t>
      </w:r>
    </w:p>
    <w:p w14:paraId="5BBCA452" w14:textId="77777777" w:rsidR="000D6023" w:rsidRDefault="00AC3999" w:rsidP="00B330CB">
      <w:pPr>
        <w:pStyle w:val="ListParagraph"/>
      </w:pPr>
      <w:r w:rsidRPr="00AC3999">
        <w:t xml:space="preserve"> • </w:t>
      </w:r>
      <w:r w:rsidRPr="003308C4">
        <w:rPr>
          <w:b/>
          <w:bCs/>
        </w:rPr>
        <w:t>Awareness of Global and National Frameworks</w:t>
      </w:r>
      <w:r w:rsidRPr="00AC3999">
        <w:t>: Familiarity with key instruments and goals that guide gender equality efforts, such as the Convention on the Elimination of All Forms of Discrimination Against Women (CEDAW), the Sustainable Development Goal 5 (Gender Equality), and various national gender policies and action plans. This knowledge ensures alignment with both global commitments and local legal standards.</w:t>
      </w:r>
    </w:p>
    <w:p w14:paraId="59F0C765" w14:textId="77777777" w:rsidR="000D6023" w:rsidRDefault="00AC3999" w:rsidP="00B330CB">
      <w:pPr>
        <w:pStyle w:val="ListParagraph"/>
      </w:pPr>
      <w:r w:rsidRPr="00AC3999">
        <w:t xml:space="preserve"> • </w:t>
      </w:r>
      <w:r w:rsidRPr="003308C4">
        <w:rPr>
          <w:b/>
          <w:bCs/>
        </w:rPr>
        <w:t>Understanding Gender-Based Violence and Discrimination</w:t>
      </w:r>
      <w:r w:rsidRPr="00AC3999">
        <w:t xml:space="preserve">: Knowledge of the various forms and causes of gender-based violence (GBV), including domestic abuse, sexual harassment, and structural discrimination. This also includes recognizing the </w:t>
      </w:r>
      <w:r w:rsidRPr="00AC3999">
        <w:lastRenderedPageBreak/>
        <w:t xml:space="preserve">impact of harmful gender stereotypes and the ways institutions can perpetuate inequality. </w:t>
      </w:r>
    </w:p>
    <w:p w14:paraId="7942D4B1" w14:textId="13E67BAC" w:rsidR="000D6023" w:rsidRDefault="00AC3999" w:rsidP="00B330CB">
      <w:pPr>
        <w:pStyle w:val="ListParagraph"/>
        <w:numPr>
          <w:ilvl w:val="0"/>
          <w:numId w:val="1"/>
        </w:numPr>
      </w:pPr>
      <w:r w:rsidRPr="00B72A0A">
        <w:rPr>
          <w:b/>
          <w:bCs/>
          <w:sz w:val="24"/>
          <w:szCs w:val="24"/>
        </w:rPr>
        <w:t>Gender-Sensitive Skills</w:t>
      </w:r>
      <w:r w:rsidRPr="00AC3999">
        <w:t xml:space="preserve"> This dimension focuses on the practical and analytical abilities required to implement gender-aware practices: </w:t>
      </w:r>
    </w:p>
    <w:p w14:paraId="3AE482AE" w14:textId="77777777" w:rsidR="000D6023" w:rsidRDefault="00AC3999" w:rsidP="00B330CB">
      <w:pPr>
        <w:pStyle w:val="ListParagraph"/>
      </w:pPr>
      <w:r w:rsidRPr="002342F9">
        <w:rPr>
          <w:u w:val="single"/>
        </w:rPr>
        <w:t xml:space="preserve">• </w:t>
      </w:r>
      <w:r w:rsidRPr="003308C4">
        <w:rPr>
          <w:b/>
          <w:bCs/>
        </w:rPr>
        <w:t>Conducting Gender Analysis:</w:t>
      </w:r>
      <w:r w:rsidRPr="00AC3999">
        <w:t xml:space="preserve"> The ability to use gender as a lens when analyzing social problems, designing policies, or evaluating programs. This includes identifying how policies may affect different genders differently and advocating for equitable approaches.</w:t>
      </w:r>
    </w:p>
    <w:p w14:paraId="2CCB0628" w14:textId="77777777" w:rsidR="000D6023" w:rsidRDefault="00AC3999" w:rsidP="00B330CB">
      <w:pPr>
        <w:pStyle w:val="ListParagraph"/>
      </w:pPr>
      <w:r w:rsidRPr="003308C4">
        <w:t xml:space="preserve"> • </w:t>
      </w:r>
      <w:r w:rsidRPr="003308C4">
        <w:rPr>
          <w:b/>
          <w:bCs/>
        </w:rPr>
        <w:t>Designing Gender-Responsive Programs</w:t>
      </w:r>
      <w:r w:rsidRPr="00AC3999">
        <w:t xml:space="preserve">: Skills in creating and executing programs that respond to the specific needs of all genders, especially marginalized groups. This involves advocacy, participatory planning, counseling survivors of GBV, and engaging communities in dialogue around gender norms. </w:t>
      </w:r>
    </w:p>
    <w:p w14:paraId="4543C2E9" w14:textId="77777777" w:rsidR="000D6023" w:rsidRDefault="00AC3999" w:rsidP="00B330CB">
      <w:pPr>
        <w:pStyle w:val="ListParagraph"/>
      </w:pPr>
      <w:r w:rsidRPr="003308C4">
        <w:rPr>
          <w:b/>
          <w:bCs/>
        </w:rPr>
        <w:t>• Challenging Institutional Gender Bias:</w:t>
      </w:r>
      <w:r w:rsidRPr="00AC3999">
        <w:t xml:space="preserve"> The capacity to identify and confront discriminatory practices within institutions, whether in education, healthcare, the workplace, or public policy. This may include reforming hiring practices, ensuring inclusive language, or revising curricula to reflect gender diversity.</w:t>
      </w:r>
    </w:p>
    <w:p w14:paraId="7DF23340" w14:textId="4FA5153C" w:rsidR="000D6023" w:rsidRDefault="00AC3999" w:rsidP="00B330CB">
      <w:pPr>
        <w:pStyle w:val="ListParagraph"/>
        <w:numPr>
          <w:ilvl w:val="0"/>
          <w:numId w:val="1"/>
        </w:numPr>
      </w:pPr>
      <w:r w:rsidRPr="00B72A0A">
        <w:rPr>
          <w:b/>
          <w:bCs/>
          <w:sz w:val="24"/>
          <w:szCs w:val="24"/>
        </w:rPr>
        <w:t>Attitudinal and Behavioral Change</w:t>
      </w:r>
      <w:r w:rsidRPr="00B72A0A">
        <w:rPr>
          <w:sz w:val="24"/>
          <w:szCs w:val="24"/>
        </w:rPr>
        <w:t xml:space="preserve"> </w:t>
      </w:r>
      <w:r w:rsidRPr="00AC3999">
        <w:t xml:space="preserve">This dimension highlights the importance of internal transformation and values-based practice in achieving gender equality: </w:t>
      </w:r>
    </w:p>
    <w:p w14:paraId="49924952" w14:textId="77777777" w:rsidR="00021FDD" w:rsidRDefault="00AC3999" w:rsidP="00B330CB">
      <w:pPr>
        <w:pStyle w:val="ListParagraph"/>
      </w:pPr>
      <w:r w:rsidRPr="004E5754">
        <w:rPr>
          <w:b/>
          <w:bCs/>
        </w:rPr>
        <w:t>• Fostering Inclusive Attitudes:</w:t>
      </w:r>
      <w:r w:rsidRPr="00AC3999">
        <w:t xml:space="preserve"> Developing respect for diversity and promoting values of equality, fairness, and inclusion in both professional and personal settings. This includes rejecting sexism, homophobia, and other forms of gender-based discrimination. </w:t>
      </w:r>
    </w:p>
    <w:p w14:paraId="6BA2FE5A" w14:textId="77777777" w:rsidR="00021FDD" w:rsidRDefault="00AC3999" w:rsidP="00B330CB">
      <w:pPr>
        <w:pStyle w:val="ListParagraph"/>
      </w:pPr>
      <w:r w:rsidRPr="004E5754">
        <w:rPr>
          <w:b/>
          <w:bCs/>
        </w:rPr>
        <w:t>• Promoting Gender-Inclusive Participation:</w:t>
      </w:r>
      <w:r w:rsidRPr="00AC3999">
        <w:t xml:space="preserve"> Encouraging equitable representation and meaningful involvement of all genders in decision-making processes at every level—community, institutional, and political. </w:t>
      </w:r>
    </w:p>
    <w:p w14:paraId="3C17AA57" w14:textId="77777777" w:rsidR="00021FDD" w:rsidRDefault="00AC3999" w:rsidP="00B330CB">
      <w:pPr>
        <w:pStyle w:val="ListParagraph"/>
      </w:pPr>
      <w:r w:rsidRPr="004E5754">
        <w:rPr>
          <w:b/>
          <w:bCs/>
        </w:rPr>
        <w:t>• Addressing Unconscious Bias:</w:t>
      </w:r>
      <w:r w:rsidRPr="00AC3999">
        <w:t xml:space="preserve"> Recognizing personal and cultural biases that may affect judgment or actions, and actively working to unlearn discriminatory attitudes. In social work, this is critical for ensuring ethical, </w:t>
      </w:r>
      <w:proofErr w:type="spellStart"/>
      <w:r w:rsidRPr="00AC3999">
        <w:t>nonjudgmental</w:t>
      </w:r>
      <w:proofErr w:type="spellEnd"/>
      <w:r w:rsidRPr="00AC3999">
        <w:t>, and client centered practice.</w:t>
      </w:r>
    </w:p>
    <w:p w14:paraId="47B57EF1" w14:textId="42984DA4" w:rsidR="00021FDD" w:rsidRDefault="00AC3999" w:rsidP="00B330CB">
      <w:pPr>
        <w:pStyle w:val="ListParagraph"/>
        <w:numPr>
          <w:ilvl w:val="0"/>
          <w:numId w:val="1"/>
        </w:numPr>
      </w:pPr>
      <w:r w:rsidRPr="00B758AE">
        <w:rPr>
          <w:b/>
          <w:bCs/>
          <w:sz w:val="24"/>
          <w:szCs w:val="24"/>
        </w:rPr>
        <w:t>Practical Application in Professional Fields</w:t>
      </w:r>
      <w:r w:rsidRPr="00B758AE">
        <w:rPr>
          <w:sz w:val="24"/>
          <w:szCs w:val="24"/>
        </w:rPr>
        <w:t xml:space="preserve"> </w:t>
      </w:r>
      <w:r w:rsidRPr="00AC3999">
        <w:t xml:space="preserve">The final dimension focuses on translating knowledge and values into tangible outcomes in real-world settings: </w:t>
      </w:r>
    </w:p>
    <w:p w14:paraId="1FF4121B" w14:textId="77777777" w:rsidR="00021FDD" w:rsidRDefault="00AC3999" w:rsidP="00B330CB">
      <w:pPr>
        <w:pStyle w:val="ListParagraph"/>
      </w:pPr>
      <w:r w:rsidRPr="004E5754">
        <w:rPr>
          <w:b/>
          <w:bCs/>
        </w:rPr>
        <w:t>• Mainstreaming Gender in Professional Practice:</w:t>
      </w:r>
      <w:r w:rsidRPr="00AC3999">
        <w:t xml:space="preserve"> Integrating gender perspectives in daily practice across disciplines such as social work, education, public health, law </w:t>
      </w:r>
      <w:r w:rsidRPr="00AC3999">
        <w:lastRenderedPageBreak/>
        <w:t>enforcement, and governance. This ensures that gender equity is embedded in planning, implementation, and evaluation.</w:t>
      </w:r>
    </w:p>
    <w:p w14:paraId="231CDF90" w14:textId="77777777" w:rsidR="00021FDD" w:rsidRDefault="00AC3999" w:rsidP="00B330CB">
      <w:pPr>
        <w:pStyle w:val="ListParagraph"/>
      </w:pPr>
      <w:r w:rsidRPr="0013518C">
        <w:rPr>
          <w:b/>
          <w:bCs/>
        </w:rPr>
        <w:t xml:space="preserve"> • Preventing and Responding to GBV: </w:t>
      </w:r>
      <w:r w:rsidRPr="00AC3999">
        <w:t>Developing and executing strategic responses to GBV, including prevention campaigns, survivor-centered interventions, community sensitization, and legal support mechanisms.</w:t>
      </w:r>
    </w:p>
    <w:p w14:paraId="1A16CC78" w14:textId="77777777" w:rsidR="00755398" w:rsidRDefault="00AC3999" w:rsidP="00B330CB">
      <w:pPr>
        <w:pStyle w:val="ListParagraph"/>
      </w:pPr>
      <w:r w:rsidRPr="00AC3999">
        <w:t xml:space="preserve"> • </w:t>
      </w:r>
      <w:r w:rsidRPr="00B758AE">
        <w:rPr>
          <w:b/>
          <w:bCs/>
        </w:rPr>
        <w:t xml:space="preserve">Using Gender-Disaggregated Data: </w:t>
      </w:r>
      <w:r w:rsidRPr="00AC3999">
        <w:t xml:space="preserve">Applying tools and methods to collect, monitor, and analyze data based on gender. This allows for more targeted interventions and helps evaluate the impact of programs and policies on different gender groups. </w:t>
      </w:r>
    </w:p>
    <w:p w14:paraId="546F6ED6" w14:textId="77777777" w:rsidR="00755398" w:rsidRDefault="00755398" w:rsidP="00B330CB"/>
    <w:p w14:paraId="03A3DD0A" w14:textId="77777777" w:rsidR="005B1CD3" w:rsidRDefault="005B1CD3" w:rsidP="00B330CB"/>
    <w:p w14:paraId="2EC977DB" w14:textId="77777777" w:rsidR="00A7617F" w:rsidRDefault="00A7617F" w:rsidP="00B330CB"/>
    <w:p w14:paraId="44379E9E" w14:textId="0A86120F" w:rsidR="000932EB" w:rsidRDefault="00AC3999" w:rsidP="00B330CB">
      <w:pPr>
        <w:pStyle w:val="ListParagraph"/>
      </w:pPr>
      <w:r w:rsidRPr="00AC3999">
        <w:t>Together, these four dimensions form an integrated framework for building effective gender competence. By nurturing these areas through education, training, and professional development, individuals and institutions can become powerful agents of change, actively contributing to the realization of gender equality in both policy and practice.</w:t>
      </w:r>
      <w:r w:rsidR="000932EB">
        <w:t xml:space="preserve">                         </w:t>
      </w:r>
    </w:p>
    <w:p w14:paraId="58C080BE" w14:textId="77777777" w:rsidR="007E6B6E" w:rsidRDefault="007E6B6E" w:rsidP="00B330CB"/>
    <w:p w14:paraId="41164CF1" w14:textId="77777777" w:rsidR="005B1CD3" w:rsidRDefault="005B1CD3" w:rsidP="00B330CB"/>
    <w:p w14:paraId="06160A87" w14:textId="77777777" w:rsidR="005B1CD3" w:rsidRDefault="005B1CD3" w:rsidP="00B330CB"/>
    <w:p w14:paraId="6CC42EA1" w14:textId="04542122" w:rsidR="007E6B6E" w:rsidRDefault="007E6B6E" w:rsidP="00B330CB">
      <w:r w:rsidRPr="007E6B6E">
        <w:t>UNESCO emphasizes that gender competencies must be systematically institutionalized within educational systems, including professional training programs such as social work education. The goal is to ensure that future professionals are not only aware of gender inequalities but are also equipped with the necessary knowledge, skills, and ethical grounding to actively promote gender justice in their respective fields. This institutional commitment is critical, given the pervasive nature of gender-based discrimination and the need for transformative responses rooted in both theory and practice.</w:t>
      </w:r>
    </w:p>
    <w:p w14:paraId="1AC10655" w14:textId="77777777" w:rsidR="00602191" w:rsidRDefault="00602191" w:rsidP="00B330CB">
      <w:pPr>
        <w:rPr>
          <w:b/>
          <w:bCs/>
        </w:rPr>
      </w:pPr>
    </w:p>
    <w:p w14:paraId="33C95731" w14:textId="77777777" w:rsidR="00602191" w:rsidRDefault="00602191" w:rsidP="00B330CB">
      <w:pPr>
        <w:rPr>
          <w:b/>
          <w:bCs/>
        </w:rPr>
      </w:pPr>
    </w:p>
    <w:p w14:paraId="533BE620" w14:textId="77777777" w:rsidR="002004D3" w:rsidRDefault="002004D3" w:rsidP="00B330CB">
      <w:pPr>
        <w:rPr>
          <w:b/>
          <w:bCs/>
        </w:rPr>
      </w:pPr>
    </w:p>
    <w:p w14:paraId="3DD6871D" w14:textId="77777777" w:rsidR="002004D3" w:rsidRDefault="002004D3" w:rsidP="00B330CB">
      <w:pPr>
        <w:rPr>
          <w:b/>
          <w:bCs/>
        </w:rPr>
      </w:pPr>
    </w:p>
    <w:p w14:paraId="6A69D5AB" w14:textId="77777777" w:rsidR="002728B2" w:rsidRDefault="002728B2" w:rsidP="00B330CB">
      <w:pPr>
        <w:rPr>
          <w:b/>
          <w:bCs/>
        </w:rPr>
      </w:pPr>
    </w:p>
    <w:p w14:paraId="4B2B521A" w14:textId="77777777" w:rsidR="002728B2" w:rsidRDefault="002728B2" w:rsidP="00B330CB">
      <w:pPr>
        <w:rPr>
          <w:b/>
          <w:bCs/>
        </w:rPr>
      </w:pPr>
    </w:p>
    <w:p w14:paraId="1D19EFEA" w14:textId="77777777" w:rsidR="002728B2" w:rsidRDefault="002728B2" w:rsidP="00B330CB">
      <w:pPr>
        <w:rPr>
          <w:b/>
          <w:bCs/>
        </w:rPr>
      </w:pPr>
    </w:p>
    <w:p w14:paraId="66215686" w14:textId="77777777" w:rsidR="002728B2" w:rsidRDefault="002728B2" w:rsidP="00B330CB">
      <w:pPr>
        <w:rPr>
          <w:b/>
          <w:bCs/>
        </w:rPr>
      </w:pPr>
    </w:p>
    <w:p w14:paraId="50B6B4BF" w14:textId="77777777" w:rsidR="002728B2" w:rsidRDefault="002728B2" w:rsidP="00B330CB">
      <w:pPr>
        <w:rPr>
          <w:b/>
          <w:bCs/>
        </w:rPr>
      </w:pPr>
    </w:p>
    <w:p w14:paraId="28118140" w14:textId="77777777" w:rsidR="00602191" w:rsidRDefault="00602191" w:rsidP="00B330CB">
      <w:pPr>
        <w:rPr>
          <w:b/>
          <w:bCs/>
        </w:rPr>
      </w:pPr>
    </w:p>
    <w:p w14:paraId="748AE59F" w14:textId="4E22CCA4" w:rsidR="005A1DE4" w:rsidRDefault="009F05F8" w:rsidP="001F2CA1">
      <w:pPr>
        <w:rPr>
          <w:b/>
          <w:bCs/>
          <w:sz w:val="32"/>
          <w:szCs w:val="32"/>
        </w:rPr>
      </w:pPr>
      <w:r w:rsidRPr="00B758AE">
        <w:rPr>
          <w:b/>
          <w:bCs/>
          <w:sz w:val="32"/>
          <w:szCs w:val="32"/>
        </w:rPr>
        <w:t>Relevance to Social Work Education</w:t>
      </w:r>
    </w:p>
    <w:p w14:paraId="06BEFA06" w14:textId="77777777" w:rsidR="00A7617F" w:rsidRDefault="00A7617F" w:rsidP="001F2CA1"/>
    <w:p w14:paraId="29A40330" w14:textId="7D13DB62" w:rsidR="00D27E8B" w:rsidRDefault="00D27E8B" w:rsidP="001F2CA1">
      <w:pPr>
        <w:rPr>
          <w:b/>
          <w:bCs/>
        </w:rPr>
      </w:pPr>
    </w:p>
    <w:p w14:paraId="141B134B" w14:textId="77777777" w:rsidR="00D27E8B" w:rsidRDefault="00D27E8B" w:rsidP="001F2CA1">
      <w:pPr>
        <w:rPr>
          <w:b/>
          <w:bCs/>
        </w:rPr>
      </w:pPr>
    </w:p>
    <w:p w14:paraId="6DBFE954" w14:textId="77777777" w:rsidR="00D27E8B" w:rsidRPr="002004D3" w:rsidRDefault="00D27E8B" w:rsidP="001F2CA1">
      <w:r w:rsidRPr="002004D3">
        <w:t>Social workers occupy a critical position in society as frontline professionals committed to social justice, equity, and the protection of human rights. Their work brings them into direct contact with some of the most vulnerable and marginalized populations—including women, children, persons with disabilities, LGBTQ+ individuals, and survivors of gender-based violence (GBV). Given the systemic and deeply rooted nature of gender inequalities, social workers play an indispensable role in identifying, challenging, and transforming oppressive structures and cultural norms. This places a profound responsibility on social work education to equip future practitioners with strong gender competencies, both theoretical and practical.</w:t>
      </w:r>
    </w:p>
    <w:p w14:paraId="7667277C" w14:textId="77777777" w:rsidR="00D27E8B" w:rsidRPr="002004D3" w:rsidRDefault="00D27E8B" w:rsidP="001F2CA1"/>
    <w:p w14:paraId="6E62B682" w14:textId="77777777" w:rsidR="00D27E8B" w:rsidRPr="002004D3" w:rsidRDefault="00D27E8B" w:rsidP="001F2CA1">
      <w:r w:rsidRPr="002004D3">
        <w:t>In recognition of this, UNESCO’s gender competency framework outlines essential dimensions that must be addressed within professional training programs like social work. These imperatives underscore the need for educational institutions to provide a comprehensive, contextually relevant, and ethically grounded approach to gender justice. Key areas of relevance include:</w:t>
      </w:r>
    </w:p>
    <w:p w14:paraId="5C0079CF" w14:textId="77777777" w:rsidR="00D27E8B" w:rsidRPr="002004D3" w:rsidRDefault="00D27E8B" w:rsidP="001F2CA1"/>
    <w:p w14:paraId="194DD949" w14:textId="1F44239F" w:rsidR="00D27E8B" w:rsidRPr="002004D3" w:rsidRDefault="00D27E8B" w:rsidP="001F2CA1">
      <w:r w:rsidRPr="002004D3">
        <w:t>1. Integration of Gender-Inclusive Curricula:</w:t>
      </w:r>
    </w:p>
    <w:p w14:paraId="5A958C40" w14:textId="77777777" w:rsidR="00D27E8B" w:rsidRPr="002004D3" w:rsidRDefault="00D27E8B" w:rsidP="001F2CA1">
      <w:r w:rsidRPr="002004D3">
        <w:t xml:space="preserve">Gender-sensitive content must be seamlessly embedded across all academic courses and specializations within social work programs. This includes detailed engagement with feminist theories, critical gender studies, intersectionality, and rights-based approaches. Students should be familiarized with key international legal instruments such as the Convention on the Elimination of All Forms of Discrimination Against Women (CEDAW), Sustainable Development Goal 5 (Gender Equality), and the Istanbul Convention, as well as national frameworks like the POSH Act (2013), PWDVA (2005), and initiatives like Beti </w:t>
      </w:r>
      <w:proofErr w:type="spellStart"/>
      <w:r w:rsidRPr="002004D3">
        <w:t>Bachao</w:t>
      </w:r>
      <w:proofErr w:type="spellEnd"/>
      <w:r w:rsidRPr="002004D3">
        <w:t xml:space="preserve"> Beti </w:t>
      </w:r>
      <w:proofErr w:type="spellStart"/>
      <w:r w:rsidRPr="002004D3">
        <w:t>Padhao</w:t>
      </w:r>
      <w:proofErr w:type="spellEnd"/>
      <w:r w:rsidRPr="002004D3">
        <w:t xml:space="preserve">. Additionally, a focus on contextual gender issues—such as caste-based violence, </w:t>
      </w:r>
      <w:proofErr w:type="spellStart"/>
      <w:r w:rsidRPr="002004D3">
        <w:t>honor</w:t>
      </w:r>
      <w:proofErr w:type="spellEnd"/>
      <w:r w:rsidRPr="002004D3">
        <w:t xml:space="preserve"> killings, and gender disparities in access to education and health—is essential to provide culturally grounded learning. Through this integrated curriculum, students develop a nuanced understanding of how gender intersects with other social determinants, shaping lived experiences and institutional responses.</w:t>
      </w:r>
    </w:p>
    <w:p w14:paraId="36325F13" w14:textId="77777777" w:rsidR="00D27E8B" w:rsidRDefault="00D27E8B" w:rsidP="001F2CA1"/>
    <w:p w14:paraId="1F78CD87" w14:textId="77777777" w:rsidR="002728B2" w:rsidRDefault="002728B2" w:rsidP="001F2CA1"/>
    <w:p w14:paraId="33019AF4" w14:textId="77777777" w:rsidR="002728B2" w:rsidRDefault="002728B2" w:rsidP="001F2CA1"/>
    <w:p w14:paraId="70DA0257" w14:textId="77777777" w:rsidR="002728B2" w:rsidRDefault="002728B2" w:rsidP="001F2CA1"/>
    <w:p w14:paraId="594CDF9B" w14:textId="77777777" w:rsidR="002728B2" w:rsidRPr="002004D3" w:rsidRDefault="002728B2" w:rsidP="001F2CA1"/>
    <w:p w14:paraId="45761DFD" w14:textId="79131F06" w:rsidR="00D27E8B" w:rsidRPr="002004D3" w:rsidRDefault="00D27E8B" w:rsidP="001F2CA1">
      <w:r w:rsidRPr="002004D3">
        <w:t>2. Emphasis on Practical Training in GBV Response:</w:t>
      </w:r>
    </w:p>
    <w:p w14:paraId="5F6954B1" w14:textId="77777777" w:rsidR="00D27E8B" w:rsidRPr="002004D3" w:rsidRDefault="00D27E8B" w:rsidP="001F2CA1">
      <w:r w:rsidRPr="002004D3">
        <w:t>Classroom-based learning, while important, is insufficient to prepare students for the complexities of real-world intervention. Social work education must prioritize field-based learning opportunities that expose students to the realities of gender-based violence in various settings—such as women’s shelters, family courts, hospitals, police departments, and grassroots NGOs. This hands-on training should focus on trauma-informed counseling techniques, crisis intervention strategies, survivor-centered care, and ethical decision-making. Students must also be taught how to recognize the signs of abuse, develop safety plans, and navigate systems of referral and support. Practical tools like case study analysis, field simulations, and reflective journaling are critical for helping students process difficult experiences and improve their professional judgement. Furthermore, exposure to interdisciplinary collaboration—with legal professionals, mental health experts, and health care providers—enhances their ability to deliver comprehensive, coordinated responses to GBV.</w:t>
      </w:r>
    </w:p>
    <w:p w14:paraId="66E2E5B6" w14:textId="77777777" w:rsidR="00D27E8B" w:rsidRPr="002004D3" w:rsidRDefault="00D27E8B" w:rsidP="001F2CA1"/>
    <w:p w14:paraId="29936809" w14:textId="6996C251" w:rsidR="00D27E8B" w:rsidRPr="002004D3" w:rsidRDefault="00D27E8B" w:rsidP="001F2CA1">
      <w:r w:rsidRPr="002004D3">
        <w:t>3. Development of Policy Advocacy Skills:</w:t>
      </w:r>
    </w:p>
    <w:p w14:paraId="4D400F9D" w14:textId="03CE21C8" w:rsidR="00D27E8B" w:rsidRPr="002004D3" w:rsidRDefault="00D27E8B" w:rsidP="001F2CA1">
      <w:r w:rsidRPr="002004D3">
        <w:t>Beyond direct service delivery, social workers must be empowered to engage in structural and policy-level interventions that aim to dismantle gender inequality at its roots. This requires training in advocacy, public policy analysis, legislative processes, and communication strategies that are effective in influencing public opinion and institutional change. Students should learn how to participate in campaigns, draft policy briefs, engage in rights-based lobbying, and contribute to gender audits of government and NGO programs. In the Indian context, this might include working with local self-governments, participating in Panchayat-level gender committees, or collaborating with state-led platforms such as Kerala’s Gender Park. This macro-level competency transforms social workers from passive implementers to active agents of systemic reform, capable of shaping gender-equitable policies, promoting institutional accountability, and advancing gender justice through organized civic engagement.</w:t>
      </w:r>
    </w:p>
    <w:p w14:paraId="0AF6B70E" w14:textId="77777777" w:rsidR="00863EBE" w:rsidRPr="002004D3" w:rsidRDefault="00863EBE" w:rsidP="001F2CA1"/>
    <w:p w14:paraId="6B8FB180" w14:textId="77777777" w:rsidR="00863EBE" w:rsidRDefault="00863EBE" w:rsidP="00B330CB">
      <w:pPr>
        <w:rPr>
          <w:b/>
          <w:bCs/>
        </w:rPr>
      </w:pPr>
    </w:p>
    <w:p w14:paraId="1F2AB963" w14:textId="35D94743" w:rsidR="008773D1" w:rsidRDefault="0071133E" w:rsidP="00B330CB">
      <w:pPr>
        <w:rPr>
          <w:b/>
          <w:bCs/>
        </w:rPr>
      </w:pPr>
      <w:r w:rsidRPr="008773D1">
        <w:rPr>
          <w:b/>
          <w:bCs/>
        </w:rPr>
        <w:lastRenderedPageBreak/>
        <w:t>Alignment with the Present Study</w:t>
      </w:r>
    </w:p>
    <w:p w14:paraId="05F4B874" w14:textId="5D963128" w:rsidR="008C676B" w:rsidRPr="008C676B" w:rsidRDefault="008C676B" w:rsidP="00B330CB">
      <w:pPr>
        <w:rPr>
          <w:b/>
          <w:bCs/>
        </w:rPr>
      </w:pPr>
    </w:p>
    <w:p w14:paraId="1854E7ED" w14:textId="77777777" w:rsidR="008C676B" w:rsidRDefault="008C676B" w:rsidP="00B330CB"/>
    <w:p w14:paraId="0C5221E7" w14:textId="6F665D3E" w:rsidR="008C676B" w:rsidRDefault="008C676B" w:rsidP="00B330CB">
      <w:r>
        <w:t>This study is firmly aligned with the vision articulated by UNESCO regarding the integration of gender competencies into professional education and training. In particular, it embraces UNESCO’s call for a transformative educational framework that fosters critical understanding, inclusive values, and practical capacity to address gender-based discrimination and violence. By focusing on final-year Master of Social Work (MSW) students enrolled in colleges affiliated with Mahatma Gandhi (MG) University, Kerala, the research examines how these emerging professionals are internalizing and applying key dimensions of gender competence—namely, knowledge</w:t>
      </w:r>
      <w:r w:rsidR="00A01A7E">
        <w:t xml:space="preserve"> </w:t>
      </w:r>
      <w:r>
        <w:t>, skills</w:t>
      </w:r>
      <w:r w:rsidR="00A01A7E">
        <w:t xml:space="preserve"> </w:t>
      </w:r>
      <w:r>
        <w:t xml:space="preserve">, and </w:t>
      </w:r>
      <w:r w:rsidR="00A01A7E">
        <w:t xml:space="preserve"> </w:t>
      </w:r>
      <w:r>
        <w:t>practice readiness.</w:t>
      </w:r>
    </w:p>
    <w:p w14:paraId="45EB543D" w14:textId="77777777" w:rsidR="008C676B" w:rsidRDefault="008C676B" w:rsidP="00B330CB"/>
    <w:p w14:paraId="700B8046" w14:textId="77777777" w:rsidR="008C676B" w:rsidRDefault="008C676B" w:rsidP="00B330CB">
      <w:r>
        <w:t>Through this lens, the study evaluates the extent to which students understand core gender theories, international conventions (such as CEDAW), national legislation (such as the POSH Act and PWDVA), and state-specific initiatives (such as Kerala’s Gender Park and Kudumbashree). It investigates whether students possess the skills necessary to translate this knowledge into gender-sensitive field interventions, including trauma-informed counseling, community advocacy, ethical decision-making, and interdisciplinary collaboration. It also probes their ability to confidently engage with complex real-life scenarios involving gender-based violence (GBV), inequality, and resistance from institutional or cultural systems.</w:t>
      </w:r>
    </w:p>
    <w:p w14:paraId="0444EEA6" w14:textId="77777777" w:rsidR="008C676B" w:rsidRDefault="008C676B" w:rsidP="00B330CB"/>
    <w:p w14:paraId="63841B76" w14:textId="50CEF3C0" w:rsidR="008C676B" w:rsidRDefault="008C676B" w:rsidP="00B330CB">
      <w:r>
        <w:t>In doing so, the study provides an empirical basis for understanding the effectiveness and limitations</w:t>
      </w:r>
      <w:r w:rsidR="00A01A7E">
        <w:t xml:space="preserve"> </w:t>
      </w:r>
      <w:r>
        <w:t>of existing social work education frameworks in preparing students for gender-equitable practice. It identifies where theoretical instruction succeeds and where it fails to translate into actionable competence in the field. For instance, while many students demonstrate high awareness of gender issues, challenges such as inconsistent field placement structures, lack of practical exposure, and minimal mentorship often hinder their ability to implement what they’ve learned effectively. The research also highlights the emotional and ethical challenges faced by students in GBV-related work—an often-overlooked aspect in conventional curriculum design.</w:t>
      </w:r>
    </w:p>
    <w:p w14:paraId="5E1E70CE" w14:textId="77777777" w:rsidR="008C676B" w:rsidRDefault="008C676B" w:rsidP="00B330CB"/>
    <w:p w14:paraId="563D0C1B" w14:textId="77777777" w:rsidR="00836CA0" w:rsidRDefault="008C676B" w:rsidP="00B330CB">
      <w:r>
        <w:t xml:space="preserve">The findings of this study have </w:t>
      </w:r>
      <w:proofErr w:type="spellStart"/>
      <w:proofErr w:type="gramStart"/>
      <w:r>
        <w:t>sev”ral</w:t>
      </w:r>
      <w:proofErr w:type="spellEnd"/>
      <w:proofErr w:type="gramEnd"/>
      <w:r>
        <w:t xml:space="preserve"> critical implications. They will inform curriculum development</w:t>
      </w:r>
      <w:r w:rsidR="00836CA0">
        <w:t xml:space="preserve"> </w:t>
      </w:r>
      <w:r>
        <w:t xml:space="preserve">by identifying gaps in content delivery and recommending the integration of contemporary issues such as intersectionality, digital gender violence, and LGBTQ+ inclusion. </w:t>
      </w:r>
    </w:p>
    <w:p w14:paraId="2FF7191F" w14:textId="77777777" w:rsidR="00836CA0" w:rsidRDefault="00836CA0" w:rsidP="00B330CB"/>
    <w:p w14:paraId="45CC05FB" w14:textId="77777777" w:rsidR="00836CA0" w:rsidRDefault="00836CA0" w:rsidP="00B330CB"/>
    <w:p w14:paraId="21FF1F14" w14:textId="77777777" w:rsidR="00836CA0" w:rsidRDefault="00836CA0" w:rsidP="00B330CB"/>
    <w:p w14:paraId="50DA811A" w14:textId="3F0E4879" w:rsidR="008C676B" w:rsidRDefault="008C676B" w:rsidP="00B330CB">
      <w:r>
        <w:t xml:space="preserve">The study will also advocate for more robust, hands-on field training </w:t>
      </w:r>
      <w:proofErr w:type="gramStart"/>
      <w:r>
        <w:t>modules</w:t>
      </w:r>
      <w:r w:rsidR="00836CA0">
        <w:t xml:space="preserve"> </w:t>
      </w:r>
      <w:r>
        <w:t xml:space="preserve"> that</w:t>
      </w:r>
      <w:proofErr w:type="gramEnd"/>
      <w:r>
        <w:t xml:space="preserve"> include structured supervision, trauma-informed practice simulations, and real-time engagement with survivors of GBV. Furthermore, it will emphasize the need for emotional resilience training and ethical guidance, preparing students to navigate the psychological and moral demands of frontline gender work.</w:t>
      </w:r>
    </w:p>
    <w:p w14:paraId="69979C5B" w14:textId="77777777" w:rsidR="008C676B" w:rsidRDefault="008C676B" w:rsidP="00B330CB"/>
    <w:p w14:paraId="78564E0F" w14:textId="3DCFEF0D" w:rsidR="008C676B" w:rsidRDefault="008C676B" w:rsidP="00B330CB">
      <w:r>
        <w:t>On a broader scale, the study encourages alignment with international best practices, enabling academic institutions in Kerala—and potentially across India—to benchmark their gender training models against globally recognized frameworks like that of UNESCO. It also offers insights into how social work education can be more effectively localized to respond to the cultural, institutional, and socio-political realities of Kerala, without compromising the universality of gender rights and justice.</w:t>
      </w:r>
    </w:p>
    <w:p w14:paraId="21FD9115" w14:textId="77777777" w:rsidR="008C676B" w:rsidRDefault="008C676B" w:rsidP="00B330CB"/>
    <w:p w14:paraId="17B3A13B" w14:textId="2DAB9088" w:rsidR="008C676B" w:rsidRDefault="008C676B" w:rsidP="00B330CB">
      <w:r>
        <w:t>Ultimately, this research reinforces the idea that social workers must be more than service providers—they must be informed, ethical, and action-oriented advocates for systemic change. By equipping students with the gender competencies needed to challenge injustice and promote equity in diverse professional settings, the study contributes meaningfully to the transformation of social work education in line with both local needs and global commitments to gender justice.</w:t>
      </w:r>
    </w:p>
    <w:p w14:paraId="613D1CAA" w14:textId="77777777" w:rsidR="008C676B" w:rsidRDefault="008C676B" w:rsidP="00B330CB"/>
    <w:p w14:paraId="2F3ED4CF" w14:textId="77777777" w:rsidR="000D377C" w:rsidRDefault="000D377C" w:rsidP="00B330CB"/>
    <w:p w14:paraId="0113ABC7" w14:textId="77777777" w:rsidR="00A7617F" w:rsidRDefault="00A7617F" w:rsidP="00B330CB"/>
    <w:p w14:paraId="3C9D9BA4" w14:textId="77777777" w:rsidR="00A7617F" w:rsidRDefault="00A7617F" w:rsidP="00B330CB"/>
    <w:p w14:paraId="1CC6956B" w14:textId="77777777" w:rsidR="00A7617F" w:rsidRDefault="00A7617F" w:rsidP="00B330CB"/>
    <w:p w14:paraId="19557A60" w14:textId="77777777" w:rsidR="00A7617F" w:rsidRDefault="00A7617F" w:rsidP="00B330CB"/>
    <w:p w14:paraId="0629A8F6" w14:textId="77777777" w:rsidR="00863EBE" w:rsidRDefault="00863EBE" w:rsidP="00B330CB"/>
    <w:p w14:paraId="45545EC6" w14:textId="77777777" w:rsidR="00863EBE" w:rsidRDefault="00863EBE" w:rsidP="00B330CB"/>
    <w:p w14:paraId="22C52456" w14:textId="77777777" w:rsidR="00863EBE" w:rsidRDefault="00863EBE" w:rsidP="00B330CB"/>
    <w:p w14:paraId="23C8A11F" w14:textId="77777777" w:rsidR="000D377C" w:rsidRDefault="000D377C" w:rsidP="00B330CB"/>
    <w:p w14:paraId="7A87851F" w14:textId="77777777" w:rsidR="000B537F" w:rsidRPr="00A7617F" w:rsidRDefault="0071133E" w:rsidP="00B330CB">
      <w:pPr>
        <w:rPr>
          <w:sz w:val="32"/>
          <w:szCs w:val="32"/>
        </w:rPr>
      </w:pPr>
      <w:r w:rsidRPr="00A7617F">
        <w:rPr>
          <w:sz w:val="32"/>
          <w:szCs w:val="32"/>
        </w:rPr>
        <w:lastRenderedPageBreak/>
        <w:t xml:space="preserve"> </w:t>
      </w:r>
      <w:r w:rsidRPr="00A7617F">
        <w:rPr>
          <w:b/>
          <w:bCs/>
          <w:sz w:val="32"/>
          <w:szCs w:val="32"/>
        </w:rPr>
        <w:t>The Role of Final-Year Social Work Students Under MG University, Kerala: A Study on Their Contributions to Addressing Social Inequalities and Community Development</w:t>
      </w:r>
      <w:r w:rsidRPr="00A7617F">
        <w:rPr>
          <w:sz w:val="32"/>
          <w:szCs w:val="32"/>
        </w:rPr>
        <w:t xml:space="preserve"> </w:t>
      </w:r>
    </w:p>
    <w:p w14:paraId="4DA1BD5A" w14:textId="74ACF4B5" w:rsidR="000F4C76" w:rsidRDefault="000F4C76" w:rsidP="00B330CB"/>
    <w:p w14:paraId="50E9FEB6" w14:textId="77777777" w:rsidR="000F4C76" w:rsidRDefault="000F4C76" w:rsidP="00B330CB"/>
    <w:p w14:paraId="3BDD5DDD" w14:textId="77777777" w:rsidR="000F4C76" w:rsidRDefault="000F4C76" w:rsidP="00B330CB">
      <w:r>
        <w:t>Social work education is fundamentally designed to cultivate a cadre of professionals equipped with the knowledge, skills, and ethical commitment necessary to understand, analyze, and respond to the complex social realities of individuals and communities. It is a dynamic discipline that weaves together theoretical grounding, value-based practice, and experiential learning. Through this comprehensive framework, social work aims to build a transformative workforce capable of fostering social change, promoting human well-being, advocating for justice, and supporting the most marginalized segments of society.</w:t>
      </w:r>
    </w:p>
    <w:p w14:paraId="3666C7A5" w14:textId="77777777" w:rsidR="000F4C76" w:rsidRDefault="000F4C76" w:rsidP="00B330CB"/>
    <w:p w14:paraId="2005CF0C" w14:textId="3D78A574" w:rsidR="000F4C76" w:rsidRDefault="000F4C76" w:rsidP="00B330CB">
      <w:r>
        <w:t>At the heart of this pedagogical model are final-year Master of Social Work (MSW) students</w:t>
      </w:r>
      <w:r w:rsidR="00E97D45">
        <w:t>,</w:t>
      </w:r>
      <w:r>
        <w:t xml:space="preserve"> who represent the crucial bridge between academic training and professional practice. Positioned at the threshold of entering the field, these students embody the transition from learners to practitioners. Through hands-on engagement with real-world issues during internships and field placements, they begin to operationalize classroom concepts and ethical principles in diverse community and institutional settings. Their role is not merely observational; they actively intervene, support, and advocate—often serving as the first point of contact for vulnerable individuals and groups.</w:t>
      </w:r>
    </w:p>
    <w:p w14:paraId="19E4CB7D" w14:textId="77777777" w:rsidR="000F4C76" w:rsidRDefault="000F4C76" w:rsidP="00B330CB"/>
    <w:p w14:paraId="795F42DD" w14:textId="7EC2DF3C" w:rsidR="000F4C76" w:rsidRDefault="000F4C76" w:rsidP="00B330CB">
      <w:r w:rsidRPr="00E97D45">
        <w:rPr>
          <w:b/>
          <w:bCs/>
        </w:rPr>
        <w:t>Globally</w:t>
      </w:r>
      <w:r w:rsidR="00E97D45">
        <w:t xml:space="preserve"> </w:t>
      </w:r>
      <w:r>
        <w:t xml:space="preserve"> there is increasing recognition of social work students as emerging agents of social transformation. According to the International Federation of Social Workers (IFSW, 2020), social work students contribute meaningfully to addressing a wide array of pressing issues—including poverty, environmental justice, child welfare, gender-based violence, and mental health. By participating in participatory research, outreach initiatives, and community development programs, students bring in fresh perspectives, innovative approaches, and youthful energy that can invigorate grassroots efforts and institutional interventions. Their contributions are not peripheral but are essential to advancing both immediate service goals and long-term systemic change.</w:t>
      </w:r>
    </w:p>
    <w:p w14:paraId="56950AED" w14:textId="77777777" w:rsidR="000F4C76" w:rsidRDefault="000F4C76" w:rsidP="00B330CB"/>
    <w:p w14:paraId="2ED0FC7E" w14:textId="52B52A26" w:rsidR="000F4C76" w:rsidRDefault="000F4C76" w:rsidP="00B330CB">
      <w:r>
        <w:lastRenderedPageBreak/>
        <w:t xml:space="preserve">In the </w:t>
      </w:r>
      <w:r w:rsidRPr="0068276A">
        <w:rPr>
          <w:b/>
          <w:bCs/>
        </w:rPr>
        <w:t>Indian context</w:t>
      </w:r>
      <w:r>
        <w:t>, the importance of social work students is magnified by the country’s socio-cultural and economic landscape, which continues to be marked by entrenched inequalities. Issues such as caste-based oppression, religious discrimination, gender-based violence, economic disparity, and rural-urban divides persist, often intersecting to deepen social exclusion. Social work students are uniquely positioned to intervene in these layered realities. Through a rights-based, inclusive, and culturally sensitive lens, they are trained to challenge oppressive structures, empower marginalized populations, and facilitate access to welfare services and legal protections. Their involvement in facilitating schemes like ICDS, Mahatma Gandhi National Rural Employment Guarantee Act (MGNREGA), and National Health Mission, as well as community-driven platforms like Self-Help Groups (SHGs), helps bridge the policy-practice gap.</w:t>
      </w:r>
    </w:p>
    <w:p w14:paraId="227331CF" w14:textId="77777777" w:rsidR="000F4C76" w:rsidRDefault="000F4C76" w:rsidP="00B330CB"/>
    <w:p w14:paraId="384AA957" w14:textId="18E48C40" w:rsidR="000F4C76" w:rsidRDefault="000F4C76" w:rsidP="00B330CB">
      <w:r w:rsidRPr="0068276A">
        <w:rPr>
          <w:b/>
          <w:bCs/>
        </w:rPr>
        <w:t xml:space="preserve">Focusing on Kerala, </w:t>
      </w:r>
      <w:r>
        <w:t>a state often praised for its human development achievements—including high literacy, gender development indices, and public health infrastructure—the landscape remains paradoxical. Despite significant progress, Kerala continues to face deeply rooted social challenges that demand critical attention and sustained intervention:</w:t>
      </w:r>
    </w:p>
    <w:p w14:paraId="234F51F6" w14:textId="77777777" w:rsidR="000F4C76" w:rsidRDefault="000F4C76" w:rsidP="00B330CB"/>
    <w:p w14:paraId="35081EAA" w14:textId="169B7F7B" w:rsidR="000F4C76" w:rsidRDefault="000F4C76" w:rsidP="00B330CB">
      <w:r>
        <w:t>Gender-based violence and domestic abuse persist at alarming levels, with rising cases reported despite the presence of legal safeguards and widespread social awareness.</w:t>
      </w:r>
    </w:p>
    <w:p w14:paraId="138D2080" w14:textId="3797DB63" w:rsidR="000F4C76" w:rsidRDefault="000F4C76" w:rsidP="00B330CB">
      <w:r>
        <w:t>Migrant workers, who support the state’s economy, often experience severe exploitation, lack of social security, and isolation from cultural and linguistic resources.</w:t>
      </w:r>
    </w:p>
    <w:p w14:paraId="28247F94" w14:textId="59FBC167" w:rsidR="000F4C76" w:rsidRDefault="000F4C76" w:rsidP="00B330CB">
      <w:r>
        <w:t>The aging population</w:t>
      </w:r>
      <w:r w:rsidR="002B262B">
        <w:t xml:space="preserve"> </w:t>
      </w:r>
      <w:r>
        <w:t>presents a growing concern, with an increasing demand for geriatric care, emotional support, and community-based elder services.</w:t>
      </w:r>
    </w:p>
    <w:p w14:paraId="1B3F29A2" w14:textId="3385FB66" w:rsidR="000F4C76" w:rsidRDefault="000F4C76" w:rsidP="00B330CB">
      <w:r>
        <w:t xml:space="preserve">Mental health </w:t>
      </w:r>
      <w:proofErr w:type="gramStart"/>
      <w:r>
        <w:t>stigma</w:t>
      </w:r>
      <w:r w:rsidR="002B262B">
        <w:t xml:space="preserve"> </w:t>
      </w:r>
      <w:r>
        <w:t xml:space="preserve"> continues</w:t>
      </w:r>
      <w:proofErr w:type="gramEnd"/>
      <w:r>
        <w:t xml:space="preserve"> to limit access to services, particularly in rural and conservative communities, where silence and shame often replace help-seeking behavior.</w:t>
      </w:r>
    </w:p>
    <w:p w14:paraId="612CEFA9" w14:textId="77777777" w:rsidR="000F4C76" w:rsidRDefault="000F4C76" w:rsidP="00B330CB"/>
    <w:p w14:paraId="13F30EFF" w14:textId="6EF292B9" w:rsidR="000F4C76" w:rsidRDefault="000F4C76" w:rsidP="00B330CB">
      <w:r>
        <w:t>In such a context, the role of final-year MSW students under Mahatma Gandhi University is particularly vital. The university’s emphasis on field-based, experiential learning ensures that students are not only exposed to but are also actively engaged with the ground realities of diverse communities. Their training involves participatory rural appraisal (PRA), needs assessments, casework and group work, community organization, and policy advocacy—thereby preparing them to practice in settings as varied as hospitals, NGOs, government departments, correctional institutions, and grassroots movements.</w:t>
      </w:r>
    </w:p>
    <w:p w14:paraId="6E9315FD" w14:textId="77777777" w:rsidR="000F4C76" w:rsidRDefault="000F4C76" w:rsidP="00B330CB"/>
    <w:p w14:paraId="1BBF8472" w14:textId="02F2D002" w:rsidR="000F4C76" w:rsidRDefault="000F4C76" w:rsidP="00B330CB">
      <w:r>
        <w:lastRenderedPageBreak/>
        <w:t>However, despite the significance of their contributions, there exists a notable research gap in evaluating the effectiveness, preparedness, and challenges faced by these students. While anecdotal evidence and institutional reports suggest that students play an important role in field settings, there is a lack of empirical data that rigorously examines their capacity to translate academic knowledge into impactful practice. Several critical questions remain unanswered:</w:t>
      </w:r>
    </w:p>
    <w:p w14:paraId="1D48D4B8" w14:textId="77777777" w:rsidR="000F4C76" w:rsidRDefault="000F4C76" w:rsidP="00B330CB"/>
    <w:p w14:paraId="0E155F61" w14:textId="22BD98A7" w:rsidR="000F4C76" w:rsidRDefault="000F4C76" w:rsidP="003F7295">
      <w:pPr>
        <w:pStyle w:val="ListParagraph"/>
        <w:numPr>
          <w:ilvl w:val="0"/>
          <w:numId w:val="30"/>
        </w:numPr>
      </w:pPr>
      <w:r>
        <w:t>How well are students able to navigate the transition from classroom learning to complex field realities?</w:t>
      </w:r>
    </w:p>
    <w:p w14:paraId="64F8B91E" w14:textId="69DC9E4A" w:rsidR="000F4C76" w:rsidRDefault="000F4C76" w:rsidP="003F7295">
      <w:pPr>
        <w:pStyle w:val="ListParagraph"/>
        <w:numPr>
          <w:ilvl w:val="0"/>
          <w:numId w:val="30"/>
        </w:numPr>
      </w:pPr>
      <w:r>
        <w:t>Are they effectively promoting social justice and community empowerment?</w:t>
      </w:r>
    </w:p>
    <w:p w14:paraId="34E2AC89" w14:textId="2CE50A0C" w:rsidR="000F4C76" w:rsidRDefault="000F4C76" w:rsidP="003F7295">
      <w:pPr>
        <w:pStyle w:val="ListParagraph"/>
        <w:numPr>
          <w:ilvl w:val="0"/>
          <w:numId w:val="30"/>
        </w:numPr>
      </w:pPr>
      <w:r>
        <w:t>What structural, emotional, or institutional barriers inhibit their full potential in the field?</w:t>
      </w:r>
    </w:p>
    <w:p w14:paraId="7701C82D" w14:textId="4B49356D" w:rsidR="000F4C76" w:rsidRDefault="000F4C76" w:rsidP="003F7295">
      <w:pPr>
        <w:pStyle w:val="ListParagraph"/>
        <w:numPr>
          <w:ilvl w:val="0"/>
          <w:numId w:val="30"/>
        </w:numPr>
      </w:pPr>
      <w:r>
        <w:t>To what extent does the current curriculum address real-world scenarios, especially in handling sensitive issues such as gender-based violence or cultural resistance?</w:t>
      </w:r>
    </w:p>
    <w:p w14:paraId="7AED91F4" w14:textId="77777777" w:rsidR="003F7295" w:rsidRDefault="003F7295" w:rsidP="00B330CB"/>
    <w:p w14:paraId="57A16BA1" w14:textId="1487EA21" w:rsidR="000F4C76" w:rsidRDefault="000F4C76" w:rsidP="00B330CB">
      <w:r>
        <w:t xml:space="preserve">This study seeks to address these </w:t>
      </w:r>
      <w:proofErr w:type="gramStart"/>
      <w:r>
        <w:t>gaps</w:t>
      </w:r>
      <w:r w:rsidR="006677DE">
        <w:t xml:space="preserve"> </w:t>
      </w:r>
      <w:r>
        <w:t xml:space="preserve"> by</w:t>
      </w:r>
      <w:proofErr w:type="gramEnd"/>
      <w:r>
        <w:t xml:space="preserve"> systematically exploring the lived experiences, contributions, and perceived readiness of final-year MSW students within MG University. It aims to assess their engagement in addressing social inequalities, promoting gender justice, and facilitating community development. At the same time, it investigates areas of concern—such as inadequate field supervision, emotional unpreparedness, and a lack of interdisciplinary exposure—that may limit the quality of their interventions.</w:t>
      </w:r>
    </w:p>
    <w:p w14:paraId="66AAD5A7" w14:textId="77777777" w:rsidR="000F4C76" w:rsidRDefault="000F4C76" w:rsidP="00B330CB"/>
    <w:p w14:paraId="42D36386" w14:textId="77777777" w:rsidR="000F4C76" w:rsidRDefault="000F4C76" w:rsidP="00B330CB">
      <w:r>
        <w:t>The insights derived from this research will be valuable not only for MG University but also for the wider academic and professional community. The findings will inform curriculum design, advocate for strengthened fieldwork frameworks, and recommend improvements in institutional support systems. Furthermore, by offering a localized case study situated within Kerala’s unique social context, the study holds relevance for national-level discourse on the future of social work education in India. It advocates for a model of social work training that is not only academically rigorous but also practically grounded, ethically sensitive, and responsive to the evolving needs of society.</w:t>
      </w:r>
    </w:p>
    <w:p w14:paraId="4CC1B9E1" w14:textId="760CBEB2" w:rsidR="000F4C76" w:rsidRDefault="000F4C76" w:rsidP="00B330CB"/>
    <w:p w14:paraId="2572CE87" w14:textId="77777777" w:rsidR="008B76D0" w:rsidRDefault="008B76D0" w:rsidP="00B330CB"/>
    <w:p w14:paraId="42AB9C54" w14:textId="77777777" w:rsidR="00863EBE" w:rsidRDefault="00863EBE" w:rsidP="00B330CB"/>
    <w:p w14:paraId="3712A2C5" w14:textId="77777777" w:rsidR="007F5642" w:rsidRDefault="007F5642" w:rsidP="00B330CB"/>
    <w:p w14:paraId="296BA5FD" w14:textId="77777777" w:rsidR="00863EBE" w:rsidRDefault="00863EBE" w:rsidP="00B330CB"/>
    <w:p w14:paraId="38BFFD49" w14:textId="77777777" w:rsidR="00826B78" w:rsidRDefault="00826B78" w:rsidP="00B330CB"/>
    <w:p w14:paraId="643FBD92" w14:textId="77777777" w:rsidR="00B71FD9" w:rsidRPr="00040CC5" w:rsidRDefault="0071133E" w:rsidP="00B330CB">
      <w:pPr>
        <w:rPr>
          <w:b/>
          <w:bCs/>
          <w:sz w:val="32"/>
          <w:szCs w:val="32"/>
        </w:rPr>
      </w:pPr>
      <w:r w:rsidRPr="0071133E">
        <w:t xml:space="preserve"> </w:t>
      </w:r>
      <w:r w:rsidRPr="00040CC5">
        <w:rPr>
          <w:b/>
          <w:bCs/>
          <w:sz w:val="32"/>
          <w:szCs w:val="32"/>
        </w:rPr>
        <w:t xml:space="preserve">Scope and Significance of the Study: Examining the Roles and Contributions of Final-Year MSW Students at MG University </w:t>
      </w:r>
    </w:p>
    <w:p w14:paraId="77CDDA6D" w14:textId="77777777" w:rsidR="006C5C91" w:rsidRPr="00040CC5" w:rsidRDefault="006C5C91" w:rsidP="00B330CB">
      <w:pPr>
        <w:rPr>
          <w:b/>
          <w:bCs/>
          <w:sz w:val="32"/>
          <w:szCs w:val="32"/>
        </w:rPr>
      </w:pPr>
    </w:p>
    <w:p w14:paraId="7173BE6C" w14:textId="020F3D36" w:rsidR="0019156A" w:rsidRDefault="006C5C91" w:rsidP="00B330CB">
      <w:pPr>
        <w:pStyle w:val="ListParagraph"/>
        <w:ind w:left="410"/>
      </w:pPr>
      <w:r>
        <w:t xml:space="preserve">                             </w:t>
      </w:r>
    </w:p>
    <w:p w14:paraId="005D2050" w14:textId="77777777" w:rsidR="0019156A" w:rsidRDefault="0019156A" w:rsidP="00B330CB">
      <w:pPr>
        <w:pStyle w:val="ListParagraph"/>
        <w:ind w:left="410"/>
      </w:pPr>
    </w:p>
    <w:p w14:paraId="0FAD3FE8" w14:textId="77777777" w:rsidR="0019156A" w:rsidRDefault="0019156A" w:rsidP="00B330CB">
      <w:pPr>
        <w:pStyle w:val="ListParagraph"/>
        <w:ind w:left="410"/>
      </w:pPr>
      <w:r>
        <w:t>This research delves into the multidimensional roles, tangible contributions, and systemic challenges experienced by final-year Master of Social Work (MSW) students under Mahatma Gandhi (MG) University, Kerala. As these students stand on the threshold of professional social work practice, their engagement in field-based learning represents more than an academic requirement—it is a formative process that shapes their identity as social workers, strengthens their competencies, and tests their readiness to confront complex social realities. By closely examining their real-world involvement across diverse settings, this study aims to assess not only how well academic programs prepare students but also how students themselves function as emerging practitioners, policy influencers, researchers, and community mobilizers.</w:t>
      </w:r>
    </w:p>
    <w:p w14:paraId="04796C85" w14:textId="77777777" w:rsidR="0019156A" w:rsidRDefault="0019156A" w:rsidP="00B330CB">
      <w:pPr>
        <w:pStyle w:val="ListParagraph"/>
        <w:ind w:left="410"/>
      </w:pPr>
    </w:p>
    <w:p w14:paraId="4144E5DE" w14:textId="03DBA3E8" w:rsidR="0019156A" w:rsidRDefault="0019156A" w:rsidP="00B330CB">
      <w:pPr>
        <w:pStyle w:val="ListParagraph"/>
        <w:ind w:left="410"/>
      </w:pPr>
      <w:r>
        <w:t xml:space="preserve">The study Is structured around </w:t>
      </w:r>
      <w:r w:rsidR="00E4679C">
        <w:t xml:space="preserve"> </w:t>
      </w:r>
      <w:r>
        <w:t>four interrelated domains of student engagement, each capturing a critical aspect of their potential impact on Kerala’s socio-developmental ecosystem:</w:t>
      </w:r>
    </w:p>
    <w:p w14:paraId="44A3C9C8" w14:textId="77777777" w:rsidR="00E4679C" w:rsidRDefault="00E4679C" w:rsidP="00B330CB">
      <w:pPr>
        <w:pStyle w:val="ListParagraph"/>
        <w:ind w:left="410"/>
      </w:pPr>
    </w:p>
    <w:p w14:paraId="6B6E4EE8" w14:textId="2B15A89A" w:rsidR="0019156A" w:rsidRDefault="0019156A" w:rsidP="00E4679C">
      <w:r>
        <w:t>1. Direct Practice: Bridging Classroom Learning with Community Realities</w:t>
      </w:r>
    </w:p>
    <w:p w14:paraId="01D61B3D" w14:textId="77777777" w:rsidR="0019156A" w:rsidRDefault="0019156A" w:rsidP="00B330CB">
      <w:pPr>
        <w:pStyle w:val="ListParagraph"/>
        <w:ind w:left="410"/>
      </w:pPr>
    </w:p>
    <w:p w14:paraId="0DDF9781" w14:textId="77777777" w:rsidR="0019156A" w:rsidRDefault="0019156A" w:rsidP="00B330CB">
      <w:pPr>
        <w:pStyle w:val="ListParagraph"/>
        <w:ind w:left="410"/>
      </w:pPr>
      <w:r>
        <w:t>Final-year MSW students are actively engaged in field-level interventions that demand the direct application of their academic learning. Their contributions often occur in highly sensitive and emotionally demanding contexts where professional social work is urgently needed.</w:t>
      </w:r>
    </w:p>
    <w:p w14:paraId="55C3E703" w14:textId="77777777" w:rsidR="0019156A" w:rsidRDefault="0019156A" w:rsidP="00B330CB">
      <w:pPr>
        <w:pStyle w:val="ListParagraph"/>
        <w:ind w:left="410"/>
      </w:pPr>
    </w:p>
    <w:p w14:paraId="578242F1" w14:textId="4FA3D1CD" w:rsidR="0019156A" w:rsidRDefault="0019156A" w:rsidP="0019156A">
      <w:pPr>
        <w:pStyle w:val="ListParagraph"/>
        <w:numPr>
          <w:ilvl w:val="0"/>
          <w:numId w:val="30"/>
        </w:numPr>
      </w:pPr>
      <w:r>
        <w:t>Counseling and Support: Students provide emotional and psychosocial support to survivors of trauma, including those affected by domestic violence, child abuse, mental illness, and gender-based discrimination. They are trained to employ trauma-informed approaches that emphasize empathy, active listening, and confidentiality.</w:t>
      </w:r>
    </w:p>
    <w:p w14:paraId="3B4F041F" w14:textId="77777777" w:rsidR="0019156A" w:rsidRDefault="0019156A" w:rsidP="00B330CB">
      <w:pPr>
        <w:pStyle w:val="ListParagraph"/>
        <w:ind w:left="410"/>
      </w:pPr>
    </w:p>
    <w:p w14:paraId="615DFAAB" w14:textId="21F9B5B7" w:rsidR="0019156A" w:rsidRDefault="0019156A" w:rsidP="0019156A">
      <w:pPr>
        <w:pStyle w:val="ListParagraph"/>
        <w:numPr>
          <w:ilvl w:val="0"/>
          <w:numId w:val="30"/>
        </w:numPr>
      </w:pPr>
      <w:r>
        <w:t>Crisis Intervention: In acute scenarios—such as domestic violence emergencies, suicide attempts, or child protection crises—students are expected to offer immediate support, assess risk, and coordinate with relevant services such as hospitals, shelters, or law enforcement.</w:t>
      </w:r>
    </w:p>
    <w:p w14:paraId="7CA0E5D2" w14:textId="77777777" w:rsidR="0019156A" w:rsidRDefault="0019156A" w:rsidP="0019156A">
      <w:pPr>
        <w:pStyle w:val="ListParagraph"/>
      </w:pPr>
    </w:p>
    <w:p w14:paraId="6D66510E" w14:textId="77777777" w:rsidR="0019156A" w:rsidRDefault="0019156A" w:rsidP="00B330CB">
      <w:pPr>
        <w:pStyle w:val="ListParagraph"/>
        <w:ind w:left="410"/>
      </w:pPr>
    </w:p>
    <w:p w14:paraId="09406540" w14:textId="4775D6F7" w:rsidR="0019156A" w:rsidRDefault="0019156A" w:rsidP="0019156A">
      <w:pPr>
        <w:pStyle w:val="ListParagraph"/>
        <w:numPr>
          <w:ilvl w:val="0"/>
          <w:numId w:val="30"/>
        </w:numPr>
      </w:pPr>
      <w:r>
        <w:t>Community Mobilization: Students engage in participatory processes with local communities to identify collective needs, build awareness on social issues (such as substance abuse, caste discrimination, or sanitation), and facilitate grassroots campaigns. Through this, they help empower communities to take ownership of their development.</w:t>
      </w:r>
    </w:p>
    <w:p w14:paraId="0678EF97" w14:textId="77777777" w:rsidR="0019156A" w:rsidRDefault="0019156A" w:rsidP="00B330CB">
      <w:pPr>
        <w:pStyle w:val="ListParagraph"/>
        <w:ind w:left="410"/>
      </w:pPr>
    </w:p>
    <w:p w14:paraId="688C3531" w14:textId="77777777" w:rsidR="0019156A" w:rsidRDefault="0019156A" w:rsidP="00B330CB">
      <w:pPr>
        <w:pStyle w:val="ListParagraph"/>
        <w:ind w:left="410"/>
      </w:pPr>
      <w:r>
        <w:t>This domain highlights how students begin to operationalize theoretical frameworks—like systems theory, person-in-environment perspective, and strengths-based approaches—within the dynamic and unpredictable environments of real-world social work.</w:t>
      </w:r>
    </w:p>
    <w:p w14:paraId="6F248F90" w14:textId="77777777" w:rsidR="002B3130" w:rsidRDefault="002B3130" w:rsidP="002B3130"/>
    <w:p w14:paraId="35EF415C" w14:textId="5B949BA9" w:rsidR="0019156A" w:rsidRDefault="0019156A" w:rsidP="002B3130">
      <w:r>
        <w:t>2. Policy Advocacy: From Field Observations to Systemic Change</w:t>
      </w:r>
    </w:p>
    <w:p w14:paraId="36AB2463" w14:textId="77777777" w:rsidR="0019156A" w:rsidRDefault="0019156A" w:rsidP="00B330CB">
      <w:pPr>
        <w:pStyle w:val="ListParagraph"/>
        <w:ind w:left="410"/>
      </w:pPr>
    </w:p>
    <w:p w14:paraId="5E9FCC1F" w14:textId="77777777" w:rsidR="0019156A" w:rsidRDefault="0019156A" w:rsidP="00B330CB">
      <w:pPr>
        <w:pStyle w:val="ListParagraph"/>
        <w:ind w:left="410"/>
      </w:pPr>
      <w:r>
        <w:t>Beyond case-level interventions, MSW students are increasingly involved in macro-level advocacy, where they learn to influence public policy, welfare program implementation, and institutional reforms.</w:t>
      </w:r>
    </w:p>
    <w:p w14:paraId="33669927" w14:textId="77777777" w:rsidR="0019156A" w:rsidRDefault="0019156A" w:rsidP="00B330CB">
      <w:pPr>
        <w:pStyle w:val="ListParagraph"/>
        <w:ind w:left="410"/>
      </w:pPr>
    </w:p>
    <w:p w14:paraId="65649E50" w14:textId="77777777" w:rsidR="00193643" w:rsidRDefault="0019156A" w:rsidP="0019156A">
      <w:pPr>
        <w:pStyle w:val="ListParagraph"/>
        <w:numPr>
          <w:ilvl w:val="0"/>
          <w:numId w:val="30"/>
        </w:numPr>
      </w:pPr>
      <w:r>
        <w:t>Linking Communities to State Schemes:</w:t>
      </w:r>
      <w:r w:rsidR="00193643">
        <w:t xml:space="preserve"> </w:t>
      </w:r>
      <w:r>
        <w:t>Students play a crucial role in connecting marginalized groups with key social protection schemes such as Kudumbashree,</w:t>
      </w:r>
    </w:p>
    <w:p w14:paraId="020E497C" w14:textId="2172D994" w:rsidR="0019156A" w:rsidRDefault="0019156A" w:rsidP="00193643">
      <w:pPr>
        <w:pStyle w:val="ListParagraph"/>
      </w:pPr>
      <w:r>
        <w:t xml:space="preserve"> e-SHRAM, or PMAY. They act as intermediaries who help bridge knowledge and accessibility gaps.</w:t>
      </w:r>
    </w:p>
    <w:p w14:paraId="7925C521" w14:textId="77777777" w:rsidR="0019156A" w:rsidRDefault="0019156A" w:rsidP="00B330CB">
      <w:pPr>
        <w:pStyle w:val="ListParagraph"/>
        <w:ind w:left="410"/>
      </w:pPr>
    </w:p>
    <w:p w14:paraId="39086DD7" w14:textId="48FE38A8" w:rsidR="0019156A" w:rsidRDefault="0019156A" w:rsidP="0019156A">
      <w:pPr>
        <w:pStyle w:val="ListParagraph"/>
        <w:numPr>
          <w:ilvl w:val="0"/>
          <w:numId w:val="30"/>
        </w:numPr>
      </w:pPr>
      <w:r>
        <w:t>Participating in Innovative Platforms:</w:t>
      </w:r>
      <w:r w:rsidR="00B2545E">
        <w:t xml:space="preserve"> </w:t>
      </w:r>
      <w:r>
        <w:t xml:space="preserve">Some students are placed with pioneering institutions like Gender </w:t>
      </w:r>
      <w:proofErr w:type="gramStart"/>
      <w:r>
        <w:t>Park</w:t>
      </w:r>
      <w:r w:rsidR="00B2545E">
        <w:t xml:space="preserve"> </w:t>
      </w:r>
      <w:r>
        <w:t>,</w:t>
      </w:r>
      <w:proofErr w:type="gramEnd"/>
      <w:r>
        <w:t xml:space="preserve"> where they learn how research, innovation, and public-private partnerships can shape inclusive gender policies.</w:t>
      </w:r>
    </w:p>
    <w:p w14:paraId="33DD26C6" w14:textId="77777777" w:rsidR="0019156A" w:rsidRDefault="0019156A" w:rsidP="0019156A">
      <w:pPr>
        <w:pStyle w:val="ListParagraph"/>
      </w:pPr>
    </w:p>
    <w:p w14:paraId="136A9C43" w14:textId="77777777" w:rsidR="0019156A" w:rsidRDefault="0019156A" w:rsidP="00B330CB">
      <w:pPr>
        <w:pStyle w:val="ListParagraph"/>
        <w:ind w:left="410"/>
      </w:pPr>
    </w:p>
    <w:p w14:paraId="7BF970EE" w14:textId="73F07B5F" w:rsidR="0019156A" w:rsidRDefault="0019156A" w:rsidP="0019156A">
      <w:pPr>
        <w:pStyle w:val="ListParagraph"/>
        <w:numPr>
          <w:ilvl w:val="0"/>
          <w:numId w:val="30"/>
        </w:numPr>
      </w:pPr>
      <w:r>
        <w:lastRenderedPageBreak/>
        <w:t>Legal and Rights-Based Advocacy: Through legal literacy camps, street plays, public hearings, and consultation forums, students advocate for the rights of women, children, the elderly, LGBTQ+ individuals, and other marginalized groups. They help amplify the voices of those often excluded from decision-making processes.</w:t>
      </w:r>
    </w:p>
    <w:p w14:paraId="2B6E5C50" w14:textId="77777777" w:rsidR="0019156A" w:rsidRDefault="0019156A" w:rsidP="00B330CB">
      <w:pPr>
        <w:pStyle w:val="ListParagraph"/>
        <w:ind w:left="410"/>
      </w:pPr>
    </w:p>
    <w:p w14:paraId="43D83AA9" w14:textId="77777777" w:rsidR="0019156A" w:rsidRDefault="0019156A" w:rsidP="00B330CB">
      <w:pPr>
        <w:pStyle w:val="ListParagraph"/>
        <w:ind w:left="410"/>
      </w:pPr>
      <w:r>
        <w:t>This area of engagement sharpens students’ political and structural awareness, enhances their understanding of governance systems, and prepares them to influence change beyond the micro-level.</w:t>
      </w:r>
    </w:p>
    <w:p w14:paraId="5BCBCC09" w14:textId="77777777" w:rsidR="0074736E" w:rsidRDefault="0074736E" w:rsidP="0074736E"/>
    <w:p w14:paraId="261153B3" w14:textId="7C6F7AED" w:rsidR="0019156A" w:rsidRDefault="0019156A" w:rsidP="0074736E">
      <w:r>
        <w:t>3. Research and Awareness Building: Advancing Evidence-Informed Practice</w:t>
      </w:r>
    </w:p>
    <w:p w14:paraId="01C4C928" w14:textId="77777777" w:rsidR="0019156A" w:rsidRDefault="0019156A" w:rsidP="00B330CB">
      <w:pPr>
        <w:pStyle w:val="ListParagraph"/>
        <w:ind w:left="410"/>
      </w:pPr>
    </w:p>
    <w:p w14:paraId="7565AFD0" w14:textId="77777777" w:rsidR="0019156A" w:rsidRDefault="0019156A" w:rsidP="00B330CB">
      <w:pPr>
        <w:pStyle w:val="ListParagraph"/>
        <w:ind w:left="410"/>
      </w:pPr>
      <w:r>
        <w:t>Social work education promotes a strong foundation in research methodology, encouraging students to engage with communities not just as service providers, but as knowledge producers.</w:t>
      </w:r>
    </w:p>
    <w:p w14:paraId="5916A5D1" w14:textId="77777777" w:rsidR="0019156A" w:rsidRDefault="0019156A" w:rsidP="00B330CB">
      <w:pPr>
        <w:pStyle w:val="ListParagraph"/>
        <w:ind w:left="410"/>
      </w:pPr>
    </w:p>
    <w:p w14:paraId="54E418DE" w14:textId="3103FD03" w:rsidR="0019156A" w:rsidRDefault="0019156A" w:rsidP="0019156A">
      <w:pPr>
        <w:pStyle w:val="ListParagraph"/>
        <w:numPr>
          <w:ilvl w:val="0"/>
          <w:numId w:val="30"/>
        </w:numPr>
      </w:pPr>
      <w:r>
        <w:t>Participatory and Action Research: Students conduct small-scale research projects on issues such as domestic violence, substance abuse, school dropouts, or stigma faced by people living with HIV/AIDS. These projects often involve mixed methods and participatory approaches, enabling students to capture lived realities.</w:t>
      </w:r>
    </w:p>
    <w:p w14:paraId="4D9AE399" w14:textId="77777777" w:rsidR="0019156A" w:rsidRDefault="0019156A" w:rsidP="00B330CB">
      <w:pPr>
        <w:pStyle w:val="ListParagraph"/>
        <w:ind w:left="410"/>
      </w:pPr>
    </w:p>
    <w:p w14:paraId="4A1A5473" w14:textId="6D0B7F4A" w:rsidR="0019156A" w:rsidRDefault="0019156A" w:rsidP="0019156A">
      <w:pPr>
        <w:pStyle w:val="ListParagraph"/>
        <w:numPr>
          <w:ilvl w:val="0"/>
          <w:numId w:val="30"/>
        </w:numPr>
      </w:pPr>
      <w:r>
        <w:t>Awareness Campaigns:</w:t>
      </w:r>
      <w:r w:rsidR="0074736E">
        <w:t xml:space="preserve"> </w:t>
      </w:r>
      <w:r>
        <w:t xml:space="preserve"> They lead or support campaigns in schools, panchayats, slums, and NGOs on crucial topics like gender justice, reproductive health, mental well-being, and digital safety. These campaigns are not just informative but transformative, often initiating dialogue in previously silent spaces.</w:t>
      </w:r>
    </w:p>
    <w:p w14:paraId="6C239B07" w14:textId="77777777" w:rsidR="0019156A" w:rsidRDefault="0019156A" w:rsidP="0019156A">
      <w:pPr>
        <w:pStyle w:val="ListParagraph"/>
      </w:pPr>
    </w:p>
    <w:p w14:paraId="6F26A0E2" w14:textId="77777777" w:rsidR="0019156A" w:rsidRDefault="0019156A" w:rsidP="00B330CB">
      <w:pPr>
        <w:pStyle w:val="ListParagraph"/>
        <w:ind w:left="410"/>
      </w:pPr>
    </w:p>
    <w:p w14:paraId="37F6E787" w14:textId="25C428D3" w:rsidR="0019156A" w:rsidRDefault="0019156A" w:rsidP="0019156A">
      <w:pPr>
        <w:pStyle w:val="ListParagraph"/>
        <w:numPr>
          <w:ilvl w:val="0"/>
          <w:numId w:val="30"/>
        </w:numPr>
      </w:pPr>
      <w:r>
        <w:t>Documentation and Data Analysis:</w:t>
      </w:r>
      <w:r w:rsidR="0074736E">
        <w:t xml:space="preserve"> </w:t>
      </w:r>
      <w:r>
        <w:t>Students document best practices, success stories, and gaps in service delivery. They analyze data to generate policy briefs, social audits, or community reports that are shared with field agencies and government departments.</w:t>
      </w:r>
    </w:p>
    <w:p w14:paraId="161CEF67" w14:textId="77777777" w:rsidR="0019156A" w:rsidRDefault="0019156A" w:rsidP="00B330CB">
      <w:pPr>
        <w:pStyle w:val="ListParagraph"/>
        <w:ind w:left="410"/>
      </w:pPr>
    </w:p>
    <w:p w14:paraId="6F18EF39" w14:textId="77777777" w:rsidR="0019156A" w:rsidRDefault="0019156A" w:rsidP="00B330CB">
      <w:pPr>
        <w:pStyle w:val="ListParagraph"/>
        <w:ind w:left="410"/>
      </w:pPr>
      <w:r>
        <w:t>This domain builds critical thinking, fosters reflective practice, and encourages a spirit of inquiry that is essential for ethical and effective social work.</w:t>
      </w:r>
    </w:p>
    <w:p w14:paraId="3EFFC77C" w14:textId="77777777" w:rsidR="00C44B88" w:rsidRDefault="00C44B88" w:rsidP="00C44B88"/>
    <w:p w14:paraId="261FBBB5" w14:textId="7FD239C9" w:rsidR="0019156A" w:rsidRDefault="0019156A" w:rsidP="00C44B88">
      <w:r>
        <w:lastRenderedPageBreak/>
        <w:t>4. Challenges Faced: Navigating Barriers in the Field</w:t>
      </w:r>
    </w:p>
    <w:p w14:paraId="2A70D38A" w14:textId="77777777" w:rsidR="0019156A" w:rsidRDefault="0019156A" w:rsidP="00B330CB">
      <w:pPr>
        <w:pStyle w:val="ListParagraph"/>
        <w:ind w:left="410"/>
      </w:pPr>
    </w:p>
    <w:p w14:paraId="4570253B" w14:textId="77777777" w:rsidR="0019156A" w:rsidRDefault="0019156A" w:rsidP="00B330CB">
      <w:pPr>
        <w:pStyle w:val="ListParagraph"/>
        <w:ind w:left="410"/>
      </w:pPr>
      <w:r>
        <w:t>Despite their dedication and training, MSW students face a range of obstacles that can hinder their effectiveness and learning outcomes. These challenges offer insight into broader systemic gaps within the social work education ecosystem.</w:t>
      </w:r>
    </w:p>
    <w:p w14:paraId="7A5128F0" w14:textId="77777777" w:rsidR="0019156A" w:rsidRDefault="0019156A" w:rsidP="00B330CB">
      <w:pPr>
        <w:pStyle w:val="ListParagraph"/>
        <w:ind w:left="410"/>
      </w:pPr>
    </w:p>
    <w:p w14:paraId="169C7D98" w14:textId="15B0CBB6" w:rsidR="0019156A" w:rsidRDefault="0019156A" w:rsidP="0019156A">
      <w:pPr>
        <w:pStyle w:val="ListParagraph"/>
        <w:numPr>
          <w:ilvl w:val="0"/>
          <w:numId w:val="30"/>
        </w:numPr>
      </w:pPr>
      <w:r>
        <w:t>Institutional Barriers: Students often lack structured supervision, clear field learning goals, or consistent engagement from university faculty. Disjointed partnerships between academic institutions and field agencies can result in irrelevant or underutilized placements that compromise learning.</w:t>
      </w:r>
    </w:p>
    <w:p w14:paraId="0C8AF42F" w14:textId="77777777" w:rsidR="0019156A" w:rsidRDefault="0019156A" w:rsidP="00B330CB">
      <w:pPr>
        <w:pStyle w:val="ListParagraph"/>
        <w:ind w:left="410"/>
      </w:pPr>
    </w:p>
    <w:p w14:paraId="49C658E2" w14:textId="342F6791" w:rsidR="0019156A" w:rsidRDefault="0019156A" w:rsidP="0019156A">
      <w:pPr>
        <w:pStyle w:val="ListParagraph"/>
        <w:numPr>
          <w:ilvl w:val="0"/>
          <w:numId w:val="30"/>
        </w:numPr>
      </w:pPr>
      <w:r>
        <w:t>Fieldwork Limitations: Logistical issues—such as lack of transportation, unsafe field locations, or poor infrastructure—pose practical challenges. In some areas, students encounter resistance from community members who are wary of “outsiders” or view gender advocacy as culturally intrusive.</w:t>
      </w:r>
    </w:p>
    <w:p w14:paraId="1A13F7F2" w14:textId="77777777" w:rsidR="0019156A" w:rsidRDefault="0019156A" w:rsidP="0019156A">
      <w:pPr>
        <w:pStyle w:val="ListParagraph"/>
      </w:pPr>
    </w:p>
    <w:p w14:paraId="594CBD94" w14:textId="77777777" w:rsidR="0019156A" w:rsidRDefault="0019156A" w:rsidP="00B330CB">
      <w:pPr>
        <w:pStyle w:val="ListParagraph"/>
        <w:ind w:left="410"/>
      </w:pPr>
    </w:p>
    <w:p w14:paraId="7011AAAF" w14:textId="689FAEFA" w:rsidR="0019156A" w:rsidRDefault="0019156A" w:rsidP="0019156A">
      <w:pPr>
        <w:pStyle w:val="ListParagraph"/>
        <w:numPr>
          <w:ilvl w:val="0"/>
          <w:numId w:val="30"/>
        </w:numPr>
      </w:pPr>
      <w:r>
        <w:t>Ethical and Emotional Dilemmas:</w:t>
      </w:r>
      <w:r w:rsidR="00C44B88">
        <w:t xml:space="preserve"> </w:t>
      </w:r>
      <w:r>
        <w:t xml:space="preserve"> Students are frequently unprepared for the emotional weight of witnessing trauma firsthand. Dilemmas related to maintaining confidentiality in small communities, securing truly informed consent, or navigating pressure from field supervisors test their ethical resilience. The absence of structured debriefing or trauma support often exacerbates this burden.</w:t>
      </w:r>
    </w:p>
    <w:p w14:paraId="70CDE632" w14:textId="77777777" w:rsidR="0019156A" w:rsidRDefault="0019156A" w:rsidP="00B330CB">
      <w:pPr>
        <w:pStyle w:val="ListParagraph"/>
        <w:ind w:left="410"/>
      </w:pPr>
    </w:p>
    <w:p w14:paraId="3BFEDBCB" w14:textId="77777777" w:rsidR="00C44B88" w:rsidRDefault="0019156A" w:rsidP="00C44B88">
      <w:pPr>
        <w:pStyle w:val="ListParagraph"/>
        <w:ind w:left="410"/>
      </w:pPr>
      <w:r>
        <w:t xml:space="preserve">These challenges are not isolated—they reveal critical gaps in curriculum design, field supervision systems, and institutional accountability. Addressing them is essential to ensure that students are not only competent but also supported in their formative </w:t>
      </w:r>
      <w:proofErr w:type="spellStart"/>
      <w:r>
        <w:t>journ</w:t>
      </w:r>
      <w:proofErr w:type="spellEnd"/>
    </w:p>
    <w:p w14:paraId="0DC59176" w14:textId="77777777" w:rsidR="00C44B88" w:rsidRDefault="00C44B88" w:rsidP="00C44B88">
      <w:pPr>
        <w:pStyle w:val="ListParagraph"/>
        <w:ind w:left="410"/>
      </w:pPr>
    </w:p>
    <w:p w14:paraId="53377080" w14:textId="77777777" w:rsidR="00C44B88" w:rsidRDefault="00C44B88" w:rsidP="00C44B88">
      <w:pPr>
        <w:pStyle w:val="ListParagraph"/>
        <w:ind w:left="410"/>
      </w:pPr>
    </w:p>
    <w:p w14:paraId="501812C0" w14:textId="6F6A11BD" w:rsidR="0019156A" w:rsidRDefault="0019156A" w:rsidP="00C44B88">
      <w:pPr>
        <w:pStyle w:val="ListParagraph"/>
        <w:ind w:left="410"/>
      </w:pPr>
      <w:r>
        <w:t>Why This Study Matters</w:t>
      </w:r>
    </w:p>
    <w:p w14:paraId="46943C79" w14:textId="77777777" w:rsidR="0019156A" w:rsidRDefault="0019156A" w:rsidP="00B330CB">
      <w:pPr>
        <w:pStyle w:val="ListParagraph"/>
        <w:ind w:left="410"/>
      </w:pPr>
    </w:p>
    <w:p w14:paraId="3FE0B6F0" w14:textId="04E5E3FF" w:rsidR="0019156A" w:rsidRDefault="0019156A" w:rsidP="00C44B88">
      <w:pPr>
        <w:pStyle w:val="ListParagraph"/>
        <w:ind w:left="410"/>
      </w:pPr>
      <w:r>
        <w:t>By exploring these four domains</w:t>
      </w:r>
      <w:r w:rsidR="00C44B88">
        <w:t xml:space="preserve"> </w:t>
      </w:r>
      <w:r>
        <w:t>Direct Practice, Policy Advocacy, Research &amp; Awareness, and Challenges Faced</w:t>
      </w:r>
      <w:r w:rsidR="00C44B88">
        <w:t xml:space="preserve"> </w:t>
      </w:r>
      <w:r>
        <w:t xml:space="preserve">this study provides a comprehensive assessment of the preparedness, performance, and potential of final-year MSW students under MG University. It offers evidence-based insights into what works, what needs strengthening, </w:t>
      </w:r>
      <w:r>
        <w:lastRenderedPageBreak/>
        <w:t>and how the professional training of social workers can be more closely aligned with the demands of today’s complex social landscape.</w:t>
      </w:r>
    </w:p>
    <w:p w14:paraId="2AD6EBE2" w14:textId="77777777" w:rsidR="0019156A" w:rsidRDefault="0019156A" w:rsidP="00B330CB">
      <w:pPr>
        <w:pStyle w:val="ListParagraph"/>
        <w:ind w:left="410"/>
      </w:pPr>
    </w:p>
    <w:p w14:paraId="1223F6A6" w14:textId="77777777" w:rsidR="0019156A" w:rsidRDefault="0019156A" w:rsidP="00B330CB">
      <w:pPr>
        <w:pStyle w:val="ListParagraph"/>
        <w:ind w:left="410"/>
      </w:pPr>
      <w:r>
        <w:t>The significance of this research lies in its ability to influence academic curriculum reforms, shape policy-level discourse on social work training, and contribute to a more resilient, rights-based, and context-sensitive social work practice—both in Kerala and beyond.</w:t>
      </w:r>
    </w:p>
    <w:p w14:paraId="04D44729" w14:textId="77777777" w:rsidR="00CB194D" w:rsidRPr="007F5642" w:rsidRDefault="00CB194D" w:rsidP="007F5642">
      <w:pPr>
        <w:rPr>
          <w:b/>
          <w:bCs/>
        </w:rPr>
      </w:pPr>
    </w:p>
    <w:p w14:paraId="570F79EA" w14:textId="60D92103" w:rsidR="007E0F09" w:rsidRPr="00FD2442" w:rsidRDefault="0071133E" w:rsidP="00B330CB">
      <w:pPr>
        <w:pStyle w:val="ListParagraph"/>
        <w:ind w:left="410"/>
        <w:rPr>
          <w:b/>
          <w:bCs/>
          <w:sz w:val="32"/>
          <w:szCs w:val="32"/>
        </w:rPr>
      </w:pPr>
      <w:r w:rsidRPr="00FD2442">
        <w:rPr>
          <w:b/>
          <w:bCs/>
          <w:sz w:val="32"/>
          <w:szCs w:val="32"/>
        </w:rPr>
        <w:t>Purpose and Contribution of the Study</w:t>
      </w:r>
    </w:p>
    <w:p w14:paraId="7AB4A6C2" w14:textId="77777777" w:rsidR="005E3AD1" w:rsidRDefault="005E3AD1" w:rsidP="00B330CB">
      <w:pPr>
        <w:pStyle w:val="ListParagraph"/>
        <w:ind w:left="410"/>
      </w:pPr>
    </w:p>
    <w:p w14:paraId="42C015DF" w14:textId="77777777" w:rsidR="00945B38" w:rsidRDefault="00945B38" w:rsidP="00B330CB">
      <w:pPr>
        <w:pStyle w:val="ListParagraph"/>
        <w:ind w:left="410"/>
      </w:pPr>
      <w:r>
        <w:t>This study is designed to critically examine the preparedness, performance, and practical experiences of final-year Master of Social Work (MSW) students under Mahatma Gandhi (MG) University, Kerala. By analyzing the nature, extent, and effectiveness of student engagement across four core domains—direct practice, policy advocacy, research and awareness building, and challenges faced—the research seeks to uncover the real-world relevance of social work education and its alignment with both societal needs and professional expectations.</w:t>
      </w:r>
    </w:p>
    <w:p w14:paraId="1A689FD4" w14:textId="77777777" w:rsidR="00945B38" w:rsidRDefault="00945B38" w:rsidP="007F5642"/>
    <w:p w14:paraId="3AC8472E" w14:textId="01DCC304" w:rsidR="00945B38" w:rsidRDefault="00945B38" w:rsidP="00945B38">
      <w:pPr>
        <w:pStyle w:val="ListParagraph"/>
        <w:numPr>
          <w:ilvl w:val="0"/>
          <w:numId w:val="30"/>
        </w:numPr>
      </w:pPr>
      <w:r w:rsidRPr="00C117F3">
        <w:rPr>
          <w:b/>
          <w:bCs/>
        </w:rPr>
        <w:t>Evaluate the practical readiness and gender competency</w:t>
      </w:r>
      <w:r>
        <w:t xml:space="preserve"> of final-year MSW students in contributing meaningfully to Kerala’s socio-developmental landscape. This includes assessing their knowledge of gender theories and legal frameworks, their ability to engage in gender-sensitive practice, and their preparedness to handle real-world scenarios involving inequality and gender-based violence (GBV).</w:t>
      </w:r>
    </w:p>
    <w:p w14:paraId="305F8E46" w14:textId="77777777" w:rsidR="00945B38" w:rsidRDefault="00945B38" w:rsidP="00B330CB">
      <w:pPr>
        <w:pStyle w:val="ListParagraph"/>
        <w:ind w:left="410"/>
      </w:pPr>
    </w:p>
    <w:p w14:paraId="5CE1CFBF" w14:textId="0901180E" w:rsidR="00945B38" w:rsidRDefault="00945B38" w:rsidP="00945B38">
      <w:pPr>
        <w:pStyle w:val="ListParagraph"/>
        <w:numPr>
          <w:ilvl w:val="0"/>
          <w:numId w:val="30"/>
        </w:numPr>
      </w:pPr>
      <w:r w:rsidRPr="00C117F3">
        <w:rPr>
          <w:b/>
          <w:bCs/>
        </w:rPr>
        <w:t>Identify critical gaps and inconsistencies</w:t>
      </w:r>
      <w:r w:rsidR="00C117F3">
        <w:t xml:space="preserve"> </w:t>
      </w:r>
      <w:r>
        <w:t xml:space="preserve"> in the existing pedagogical structures, including fieldwork supervision, curriculum content, institutional collaboration, and emotional preparedness. It further seeks to understand the extent to which these gaps hinder the students’ transition from academic training to ethical, effective field practice.</w:t>
      </w:r>
    </w:p>
    <w:p w14:paraId="3F525566" w14:textId="77777777" w:rsidR="00945B38" w:rsidRDefault="00945B38" w:rsidP="00945B38">
      <w:pPr>
        <w:pStyle w:val="ListParagraph"/>
      </w:pPr>
    </w:p>
    <w:p w14:paraId="5DEBB4B1" w14:textId="77777777" w:rsidR="00945B38" w:rsidRDefault="00945B38" w:rsidP="00B330CB">
      <w:pPr>
        <w:pStyle w:val="ListParagraph"/>
        <w:ind w:left="410"/>
      </w:pPr>
    </w:p>
    <w:p w14:paraId="367FD021" w14:textId="7C800257" w:rsidR="00945B38" w:rsidRDefault="00945B38" w:rsidP="00945B38">
      <w:pPr>
        <w:pStyle w:val="ListParagraph"/>
        <w:numPr>
          <w:ilvl w:val="0"/>
          <w:numId w:val="30"/>
        </w:numPr>
      </w:pPr>
      <w:r w:rsidRPr="007E5530">
        <w:rPr>
          <w:b/>
          <w:bCs/>
        </w:rPr>
        <w:t>Provide concrete, evidence-based recommendations</w:t>
      </w:r>
      <w:r w:rsidR="007E5530" w:rsidRPr="007E5530">
        <w:rPr>
          <w:b/>
          <w:bCs/>
        </w:rPr>
        <w:t xml:space="preserve"> </w:t>
      </w:r>
      <w:r>
        <w:t xml:space="preserve"> to strengthen the quality of social work pedagogy. These may include restructuring field practicum models, expanding training in policy advocacy and trauma-informed care, enhancing </w:t>
      </w:r>
      <w:r>
        <w:lastRenderedPageBreak/>
        <w:t>interdisciplinary collaboration, and introducing structured emotional and ethical support systems during field placements.</w:t>
      </w:r>
    </w:p>
    <w:p w14:paraId="6060560E" w14:textId="77777777" w:rsidR="00945B38" w:rsidRDefault="00945B38" w:rsidP="00B330CB">
      <w:pPr>
        <w:pStyle w:val="ListParagraph"/>
        <w:ind w:left="410"/>
      </w:pPr>
    </w:p>
    <w:p w14:paraId="6AD24FA5" w14:textId="5563817E" w:rsidR="00945B38" w:rsidRDefault="00945B38" w:rsidP="00B330CB">
      <w:pPr>
        <w:pStyle w:val="ListParagraph"/>
        <w:ind w:left="410"/>
      </w:pPr>
      <w:r>
        <w:t xml:space="preserve">The contribution of this research is multidimensional. At a </w:t>
      </w:r>
      <w:r w:rsidRPr="00A31080">
        <w:rPr>
          <w:b/>
          <w:bCs/>
        </w:rPr>
        <w:t>local level,</w:t>
      </w:r>
      <w:r>
        <w:t xml:space="preserve"> it will inform MG University and its affiliated colleges about how their training models impact student performance and community outcomes. The findings can guide faculty, administrators, and field supervisors in revising curricular content, strengthening mentorship, and tailoring interventions to better meet the demands of professional practice. For example, it may reveal the need for simulation-based training on handling GBV cases or expose the limitations of current field placement partnerships with NGOs and government agencies.</w:t>
      </w:r>
    </w:p>
    <w:p w14:paraId="214650C0" w14:textId="77777777" w:rsidR="00945B38" w:rsidRDefault="00945B38" w:rsidP="00B330CB">
      <w:pPr>
        <w:pStyle w:val="ListParagraph"/>
        <w:ind w:left="410"/>
      </w:pPr>
    </w:p>
    <w:p w14:paraId="21948721" w14:textId="3C97C303" w:rsidR="00945B38" w:rsidRDefault="00945B38" w:rsidP="00B330CB">
      <w:pPr>
        <w:pStyle w:val="ListParagraph"/>
        <w:ind w:left="410"/>
      </w:pPr>
      <w:r>
        <w:t xml:space="preserve">At a </w:t>
      </w:r>
      <w:r w:rsidRPr="00A31080">
        <w:rPr>
          <w:b/>
          <w:bCs/>
        </w:rPr>
        <w:t>national level,</w:t>
      </w:r>
      <w:r>
        <w:t xml:space="preserve"> the study contributes to the growing discourse on improving social work education in India. By presenting insights rooted in the socio-cultural reality of Kerala—a state known for both high development indicators and persistent social challenges—it provides a valuable case for understanding how theoretical competencies are or are not being translated into action. This knowledge is essential for educational boards, policy makers, and professional bodies aiming to standardize and elevate the quality of MSW training programs across India.</w:t>
      </w:r>
    </w:p>
    <w:p w14:paraId="5A10CB5D" w14:textId="77777777" w:rsidR="00945B38" w:rsidRDefault="00945B38" w:rsidP="00B330CB">
      <w:pPr>
        <w:pStyle w:val="ListParagraph"/>
        <w:ind w:left="410"/>
      </w:pPr>
    </w:p>
    <w:p w14:paraId="51568879" w14:textId="20DCEC64" w:rsidR="00945B38" w:rsidRDefault="00945B38" w:rsidP="00B330CB">
      <w:pPr>
        <w:pStyle w:val="ListParagraph"/>
        <w:ind w:left="410"/>
      </w:pPr>
      <w:r>
        <w:t xml:space="preserve">At a </w:t>
      </w:r>
      <w:r w:rsidRPr="00A31080">
        <w:rPr>
          <w:b/>
          <w:bCs/>
        </w:rPr>
        <w:t>global level</w:t>
      </w:r>
      <w:r>
        <w:t>, the study feeds into broader debates surrounding the transformation of social work education in the 21</w:t>
      </w:r>
      <w:r w:rsidRPr="00945B38">
        <w:rPr>
          <w:vertAlign w:val="superscript"/>
        </w:rPr>
        <w:t>st</w:t>
      </w:r>
      <w:r>
        <w:t xml:space="preserve"> century, especially in light of international frameworks like the UNESCO Gender Competency Model</w:t>
      </w:r>
      <w:r w:rsidR="00D41B95">
        <w:t xml:space="preserve"> </w:t>
      </w:r>
      <w:r>
        <w:t xml:space="preserve"> and ustainable Development Goals (SDG 5). By offering context-specific insights and actionable strategies, this research positions itself as a relevant contribution to international discussions on how to build a future-ready, justice-oriented, and gender-sensitive social workforce.</w:t>
      </w:r>
    </w:p>
    <w:p w14:paraId="7FBE740D" w14:textId="77777777" w:rsidR="00945B38" w:rsidRDefault="00945B38" w:rsidP="00B330CB">
      <w:pPr>
        <w:pStyle w:val="ListParagraph"/>
        <w:ind w:left="410"/>
      </w:pPr>
    </w:p>
    <w:p w14:paraId="48771EB8" w14:textId="77777777" w:rsidR="00945B38" w:rsidRDefault="00945B38" w:rsidP="00B330CB">
      <w:pPr>
        <w:pStyle w:val="ListParagraph"/>
        <w:ind w:left="410"/>
      </w:pPr>
      <w:r>
        <w:t>In essence, this study aspires to be more than an academic exercise—it seeks to serve as a roadmap for reform, a catalyst for institutional reflection, and a voice for students navigating the challenges of applied social justice work. By doing so, it contributes meaningfully to shaping a generation of social workers who are not only skilled and knowledgeable but also ethically committed, emotionally resilient, and socially transformative in their practice.</w:t>
      </w:r>
    </w:p>
    <w:p w14:paraId="748B2FC3" w14:textId="3CA83B62" w:rsidR="00945B38" w:rsidRDefault="00945B38" w:rsidP="00D41B95"/>
    <w:p w14:paraId="1AB4400E" w14:textId="77777777" w:rsidR="00945B38" w:rsidRDefault="00945B38" w:rsidP="00B330CB">
      <w:pPr>
        <w:pStyle w:val="ListParagraph"/>
        <w:ind w:left="410"/>
      </w:pPr>
    </w:p>
    <w:p w14:paraId="1D60C542" w14:textId="77777777" w:rsidR="00D26CCA" w:rsidRDefault="00D26CCA" w:rsidP="00B330CB">
      <w:pPr>
        <w:pStyle w:val="ListParagraph"/>
        <w:ind w:left="410"/>
      </w:pPr>
    </w:p>
    <w:p w14:paraId="466072EB" w14:textId="77777777" w:rsidR="00DD3BCE" w:rsidRPr="00C05313" w:rsidRDefault="0071133E" w:rsidP="00B330CB">
      <w:pPr>
        <w:pStyle w:val="ListParagraph"/>
        <w:ind w:left="410"/>
        <w:rPr>
          <w:b/>
          <w:bCs/>
          <w:sz w:val="32"/>
          <w:szCs w:val="32"/>
        </w:rPr>
      </w:pPr>
      <w:r w:rsidRPr="00DD3BCE">
        <w:rPr>
          <w:b/>
          <w:bCs/>
        </w:rPr>
        <w:t xml:space="preserve"> </w:t>
      </w:r>
      <w:r w:rsidRPr="00C05313">
        <w:rPr>
          <w:b/>
          <w:bCs/>
          <w:sz w:val="32"/>
          <w:szCs w:val="32"/>
        </w:rPr>
        <w:t>Understanding Knowledge, Skills, and Practice in Addressing Gender Based Inequalities and Violence</w:t>
      </w:r>
    </w:p>
    <w:p w14:paraId="50C44087" w14:textId="77777777" w:rsidR="0043685C" w:rsidRDefault="0043685C" w:rsidP="00B330CB">
      <w:pPr>
        <w:pStyle w:val="ListParagraph"/>
        <w:ind w:left="410"/>
      </w:pPr>
      <w:r>
        <w:t xml:space="preserve">                           </w:t>
      </w:r>
    </w:p>
    <w:p w14:paraId="67505C30" w14:textId="2E250CE8" w:rsidR="007963F9" w:rsidRDefault="0043685C" w:rsidP="00B330CB">
      <w:pPr>
        <w:pStyle w:val="ListParagraph"/>
        <w:ind w:left="410"/>
      </w:pPr>
      <w:r>
        <w:t xml:space="preserve">                                   </w:t>
      </w:r>
      <w:r w:rsidR="0071133E" w:rsidRPr="0071133E">
        <w:t xml:space="preserve"> In the context of this research, which investigates the gender competencies of final-year Master of Social Work (MSW) students at Mahatma Gandhi (MG) University, Kerala, the concepts of knowledge, skills, and practice represent three critical dimensions of professional readiness. These dimensions form the foundation of a social worker’s capacity to address gender-based inequalities and violence (GBV) in both institutional and community settings. Each dimension reflects a progression from theoretical understanding to applied capability and finally to practical, real-world engagement</w:t>
      </w:r>
    </w:p>
    <w:p w14:paraId="027E3F87" w14:textId="77777777" w:rsidR="007963F9" w:rsidRDefault="0071133E" w:rsidP="00B330CB">
      <w:pPr>
        <w:pStyle w:val="ListParagraph"/>
        <w:ind w:left="410"/>
      </w:pPr>
      <w:r w:rsidRPr="007963F9">
        <w:rPr>
          <w:b/>
          <w:bCs/>
        </w:rPr>
        <w:t xml:space="preserve">. 1. </w:t>
      </w:r>
      <w:r w:rsidRPr="00C05313">
        <w:rPr>
          <w:b/>
          <w:bCs/>
          <w:sz w:val="24"/>
          <w:szCs w:val="24"/>
        </w:rPr>
        <w:t>Knowledge</w:t>
      </w:r>
      <w:r w:rsidRPr="0071133E">
        <w:t>:</w:t>
      </w:r>
    </w:p>
    <w:p w14:paraId="0392128E" w14:textId="77777777" w:rsidR="007963F9" w:rsidRDefault="0071133E" w:rsidP="00B330CB">
      <w:pPr>
        <w:pStyle w:val="ListParagraph"/>
        <w:ind w:left="410"/>
      </w:pPr>
      <w:r w:rsidRPr="0071133E">
        <w:t xml:space="preserve"> Theoretical and Conceptual Foundations The knowledge dimension encompasses the students’ understanding of foundational gender theories, frameworks, and legal mechanisms. It includes awareness of the structural roots of gender-based disparities and familiarity with the national and international efforts aimed at eliminating these injustices. Key components of this dimension include: </w:t>
      </w:r>
    </w:p>
    <w:p w14:paraId="15D43AC7" w14:textId="77777777" w:rsidR="007963F9" w:rsidRDefault="0071133E" w:rsidP="00B330CB">
      <w:pPr>
        <w:pStyle w:val="ListParagraph"/>
        <w:ind w:left="410"/>
      </w:pPr>
      <w:r w:rsidRPr="0071133E">
        <w:t xml:space="preserve">• </w:t>
      </w:r>
      <w:r w:rsidRPr="0043685C">
        <w:rPr>
          <w:b/>
          <w:bCs/>
        </w:rPr>
        <w:t>Core gender concepts</w:t>
      </w:r>
      <w:r w:rsidRPr="0071133E">
        <w:t xml:space="preserve">: Distinguishing between biological sex and socially constructed gender roles, and understanding constructs such as patriarchy, gender norms, and gender identity. </w:t>
      </w:r>
    </w:p>
    <w:p w14:paraId="65438A67" w14:textId="77777777" w:rsidR="007963F9" w:rsidRDefault="0071133E" w:rsidP="00B330CB">
      <w:pPr>
        <w:pStyle w:val="ListParagraph"/>
        <w:ind w:left="410"/>
      </w:pPr>
      <w:r w:rsidRPr="0071133E">
        <w:t xml:space="preserve">• </w:t>
      </w:r>
      <w:r w:rsidRPr="0043685C">
        <w:rPr>
          <w:b/>
          <w:bCs/>
        </w:rPr>
        <w:t>Forms of gender inequality</w:t>
      </w:r>
      <w:r w:rsidRPr="0071133E">
        <w:t xml:space="preserve">: Recognizing manifestations such as the gender wage gap, underrepresentation in leadership roles, educational disparities, and systemic marginalization of women and gender minorities. </w:t>
      </w:r>
    </w:p>
    <w:p w14:paraId="014C98E7" w14:textId="77777777" w:rsidR="007963F9" w:rsidRDefault="0071133E" w:rsidP="00B330CB">
      <w:pPr>
        <w:pStyle w:val="ListParagraph"/>
        <w:ind w:left="410"/>
      </w:pPr>
      <w:r w:rsidRPr="0043685C">
        <w:rPr>
          <w:b/>
          <w:bCs/>
        </w:rPr>
        <w:t>• Gender-based violence (GBV)</w:t>
      </w:r>
      <w:r w:rsidRPr="0071133E">
        <w:t xml:space="preserve">: Understanding the types of violence (domestic abuse, sexual harassment, cyber violence, dowry-related abuse), their prevalence, and the psychological and social impacts on survivors. </w:t>
      </w:r>
    </w:p>
    <w:p w14:paraId="3500914D" w14:textId="77777777" w:rsidR="00D82C1E" w:rsidRDefault="0071133E" w:rsidP="00B330CB">
      <w:pPr>
        <w:pStyle w:val="ListParagraph"/>
        <w:ind w:left="410"/>
      </w:pPr>
      <w:r w:rsidRPr="0071133E">
        <w:t xml:space="preserve">• </w:t>
      </w:r>
      <w:r w:rsidRPr="0043685C">
        <w:rPr>
          <w:b/>
          <w:bCs/>
        </w:rPr>
        <w:t>Legal and policy frameworks</w:t>
      </w:r>
      <w:r w:rsidRPr="0071133E">
        <w:t>:</w:t>
      </w:r>
    </w:p>
    <w:p w14:paraId="38866192" w14:textId="77777777" w:rsidR="00D82C1E" w:rsidRDefault="00D82C1E" w:rsidP="00B330CB">
      <w:pPr>
        <w:pStyle w:val="ListParagraph"/>
        <w:ind w:left="410"/>
      </w:pPr>
      <w:r>
        <w:t xml:space="preserve">       </w:t>
      </w:r>
      <w:r w:rsidR="0071133E" w:rsidRPr="0071133E">
        <w:t xml:space="preserve"> o National laws: Indian Penal Code (IPC), Protection of Women from Domestic Violence Act (PWDVA) 2005, Sexual Harassment of Women at Workplace (POSH Act) 2013. </w:t>
      </w:r>
    </w:p>
    <w:p w14:paraId="0975F8D7" w14:textId="77777777" w:rsidR="00D82C1E" w:rsidRDefault="00D82C1E" w:rsidP="00B330CB">
      <w:pPr>
        <w:pStyle w:val="ListParagraph"/>
        <w:ind w:left="410"/>
      </w:pPr>
      <w:r>
        <w:t xml:space="preserve">        </w:t>
      </w:r>
      <w:r w:rsidR="0071133E" w:rsidRPr="0071133E">
        <w:t xml:space="preserve">o Government initiatives: Beti </w:t>
      </w:r>
      <w:proofErr w:type="spellStart"/>
      <w:r w:rsidR="0071133E" w:rsidRPr="0071133E">
        <w:t>Bachao</w:t>
      </w:r>
      <w:proofErr w:type="spellEnd"/>
      <w:r w:rsidR="0071133E" w:rsidRPr="0071133E">
        <w:t xml:space="preserve"> Beti </w:t>
      </w:r>
      <w:proofErr w:type="spellStart"/>
      <w:r w:rsidR="0071133E" w:rsidRPr="0071133E">
        <w:t>Padhao</w:t>
      </w:r>
      <w:proofErr w:type="spellEnd"/>
      <w:r w:rsidR="0071133E" w:rsidRPr="0071133E">
        <w:t xml:space="preserve"> (Save the Girl Child), Kerala’s Gender Park.</w:t>
      </w:r>
    </w:p>
    <w:p w14:paraId="0085E775" w14:textId="77777777" w:rsidR="00D82C1E" w:rsidRDefault="00D82C1E" w:rsidP="00B330CB">
      <w:pPr>
        <w:pStyle w:val="ListParagraph"/>
        <w:ind w:left="410"/>
      </w:pPr>
      <w:r>
        <w:lastRenderedPageBreak/>
        <w:t xml:space="preserve">      </w:t>
      </w:r>
      <w:r w:rsidR="0071133E" w:rsidRPr="0071133E">
        <w:t xml:space="preserve"> o </w:t>
      </w:r>
      <w:proofErr w:type="gramStart"/>
      <w:r w:rsidR="0071133E" w:rsidRPr="0071133E">
        <w:t>International</w:t>
      </w:r>
      <w:proofErr w:type="gramEnd"/>
      <w:r w:rsidR="0071133E" w:rsidRPr="0071133E">
        <w:t xml:space="preserve"> instruments: Convention on the Elimination of All Forms of Discrimination Against Women (CEDAW), Sustainable Development Goal 5 (Achieve Gender Equality). </w:t>
      </w:r>
    </w:p>
    <w:p w14:paraId="436BE79F" w14:textId="77777777" w:rsidR="00FB4F6C" w:rsidRDefault="00D82C1E" w:rsidP="00B330CB">
      <w:pPr>
        <w:pStyle w:val="ListParagraph"/>
        <w:ind w:left="410"/>
      </w:pPr>
      <w:r>
        <w:t xml:space="preserve">       </w:t>
      </w:r>
      <w:r w:rsidR="0071133E" w:rsidRPr="0071133E">
        <w:t xml:space="preserve">o Intersectionality: A critical lens to understand how gender oppression intersects with other identity markers such as caste, class, religion, and sexuality—leading to multiple layers of disadvantage. </w:t>
      </w:r>
    </w:p>
    <w:p w14:paraId="5C0ED61D" w14:textId="6759688E" w:rsidR="00FB4F6C" w:rsidRDefault="0043685C" w:rsidP="00B330CB">
      <w:pPr>
        <w:pStyle w:val="ListParagraph"/>
        <w:ind w:left="410"/>
      </w:pPr>
      <w:r>
        <w:t xml:space="preserve">                                                           </w:t>
      </w:r>
      <w:r w:rsidR="0071133E" w:rsidRPr="0071133E">
        <w:t>Example: A well-informed student should be able to critically analyze how Kerala’s relatively high literacy rates coexist with rising reports of domestic violence (Kerala Women’s Commission, 2023), thereby identifying the gaps between education and gender empowerment.</w:t>
      </w:r>
    </w:p>
    <w:p w14:paraId="5483ABC7" w14:textId="77777777" w:rsidR="007E1FC5" w:rsidRDefault="007E1FC5" w:rsidP="00B330CB">
      <w:pPr>
        <w:pStyle w:val="ListParagraph"/>
        <w:ind w:left="410"/>
      </w:pPr>
    </w:p>
    <w:p w14:paraId="755BA1C7" w14:textId="77777777" w:rsidR="007E1FC5" w:rsidRDefault="007E1FC5" w:rsidP="00B330CB">
      <w:pPr>
        <w:pStyle w:val="ListParagraph"/>
        <w:ind w:left="410"/>
      </w:pPr>
    </w:p>
    <w:p w14:paraId="3E804EB2" w14:textId="77777777" w:rsidR="007E1FC5" w:rsidRDefault="007E1FC5" w:rsidP="00B330CB">
      <w:pPr>
        <w:pStyle w:val="ListParagraph"/>
        <w:ind w:left="410"/>
      </w:pPr>
    </w:p>
    <w:p w14:paraId="52D30822" w14:textId="77777777" w:rsidR="007E1FC5" w:rsidRDefault="007E1FC5" w:rsidP="00B330CB">
      <w:pPr>
        <w:pStyle w:val="ListParagraph"/>
        <w:ind w:left="410"/>
      </w:pPr>
    </w:p>
    <w:p w14:paraId="67C5B25E" w14:textId="77777777" w:rsidR="00FB4F6C" w:rsidRDefault="0071133E" w:rsidP="00B330CB">
      <w:pPr>
        <w:pStyle w:val="ListParagraph"/>
        <w:ind w:left="410"/>
      </w:pPr>
      <w:r w:rsidRPr="00FB4F6C">
        <w:rPr>
          <w:b/>
          <w:bCs/>
        </w:rPr>
        <w:t xml:space="preserve"> 2. Skills: Applied Abilities in Gender-Sensitive Interventions</w:t>
      </w:r>
      <w:r w:rsidRPr="0071133E">
        <w:t xml:space="preserve"> </w:t>
      </w:r>
    </w:p>
    <w:p w14:paraId="31DE7C26" w14:textId="2E04090B" w:rsidR="00FB4F6C" w:rsidRDefault="00BE1454" w:rsidP="00B330CB">
      <w:pPr>
        <w:pStyle w:val="ListParagraph"/>
        <w:ind w:left="410"/>
      </w:pPr>
      <w:r>
        <w:t xml:space="preserve">                                            </w:t>
      </w:r>
      <w:r w:rsidR="0071133E" w:rsidRPr="0071133E">
        <w:t>The skills dimension refers to the students’ ability to translate theoretical knowledge into effective, sensitive, and strategic interventions in gender-related contexts. These competencies are crucial for direct engagement with survivors, communities, and institutions. Key skill areas include:</w:t>
      </w:r>
    </w:p>
    <w:p w14:paraId="1ED66595" w14:textId="77777777" w:rsidR="00FB4F6C" w:rsidRDefault="0071133E" w:rsidP="00B330CB">
      <w:pPr>
        <w:pStyle w:val="ListParagraph"/>
        <w:ind w:left="410"/>
      </w:pPr>
      <w:r w:rsidRPr="0071133E">
        <w:t xml:space="preserve"> • </w:t>
      </w:r>
      <w:r w:rsidRPr="002F4436">
        <w:rPr>
          <w:b/>
          <w:bCs/>
        </w:rPr>
        <w:t>Gender-sensitive communication</w:t>
      </w:r>
      <w:r w:rsidRPr="0071133E">
        <w:t xml:space="preserve">: Building rapport with survivors of GBV, using empathetic listening, avoiding re-traumatization, and maintaining a non-judgmental approach. </w:t>
      </w:r>
    </w:p>
    <w:p w14:paraId="048B9B73" w14:textId="77777777" w:rsidR="00FB4F6C" w:rsidRDefault="0071133E" w:rsidP="00B330CB">
      <w:pPr>
        <w:pStyle w:val="ListParagraph"/>
        <w:ind w:left="410"/>
      </w:pPr>
      <w:r w:rsidRPr="002F4436">
        <w:rPr>
          <w:b/>
          <w:bCs/>
        </w:rPr>
        <w:t>• Crisis intervention</w:t>
      </w:r>
      <w:r w:rsidRPr="0071133E">
        <w:t xml:space="preserve">: Responding swiftly and appropriately to emergency situations, including creating safety plans and making referrals to relevant support services such as One Stop Centres. </w:t>
      </w:r>
    </w:p>
    <w:p w14:paraId="5172BC38" w14:textId="77777777" w:rsidR="008C4807" w:rsidRDefault="0071133E" w:rsidP="00B330CB">
      <w:pPr>
        <w:pStyle w:val="ListParagraph"/>
        <w:ind w:left="410"/>
      </w:pPr>
      <w:r w:rsidRPr="0071133E">
        <w:t xml:space="preserve">• </w:t>
      </w:r>
      <w:r w:rsidRPr="002F4436">
        <w:rPr>
          <w:b/>
          <w:bCs/>
        </w:rPr>
        <w:t>Advocacy and awareness</w:t>
      </w:r>
      <w:r w:rsidRPr="0071133E">
        <w:t>: Organizing and facilitating educational sessions or campaigns around themes such as consent, toxic masculinity, body autonomy, and LGBTQ+ rights.</w:t>
      </w:r>
    </w:p>
    <w:p w14:paraId="2DE69C03" w14:textId="549ACB36" w:rsidR="00FB4F6C" w:rsidRDefault="0071133E" w:rsidP="00B330CB">
      <w:pPr>
        <w:pStyle w:val="ListParagraph"/>
        <w:ind w:left="410"/>
      </w:pPr>
      <w:r w:rsidRPr="0071133E">
        <w:t xml:space="preserve"> • </w:t>
      </w:r>
      <w:r w:rsidRPr="002F4436">
        <w:rPr>
          <w:b/>
          <w:bCs/>
        </w:rPr>
        <w:t>Research and documentation</w:t>
      </w:r>
      <w:r w:rsidRPr="0071133E">
        <w:t>: Collecting, analyzing, and presenting gender disaggregated data to support evidence-based policy recommendations and interventions.</w:t>
      </w:r>
    </w:p>
    <w:p w14:paraId="04F50636" w14:textId="77777777" w:rsidR="00E752D5" w:rsidRDefault="0071133E" w:rsidP="00B330CB">
      <w:pPr>
        <w:pStyle w:val="ListParagraph"/>
        <w:ind w:left="410"/>
      </w:pPr>
      <w:r w:rsidRPr="0071133E">
        <w:t xml:space="preserve"> </w:t>
      </w:r>
      <w:r w:rsidRPr="00A060F2">
        <w:rPr>
          <w:b/>
          <w:bCs/>
        </w:rPr>
        <w:t>• Community mobilization</w:t>
      </w:r>
      <w:r w:rsidRPr="0071133E">
        <w:t>: Engaging diverse community members, including men and boys, in gender equality efforts—for example, through campaigns aligned with the HeForShe movement or local Panchayat-led initiatives.</w:t>
      </w:r>
    </w:p>
    <w:p w14:paraId="4A06111C" w14:textId="77777777" w:rsidR="00E752D5" w:rsidRDefault="0071133E" w:rsidP="00B330CB">
      <w:pPr>
        <w:pStyle w:val="ListParagraph"/>
        <w:ind w:left="410"/>
      </w:pPr>
      <w:r w:rsidRPr="0071133E">
        <w:lastRenderedPageBreak/>
        <w:t xml:space="preserve"> Example: A student interning at a women’s shelter or NGO not only </w:t>
      </w:r>
      <w:proofErr w:type="gramStart"/>
      <w:r w:rsidRPr="0071133E">
        <w:t>counsels</w:t>
      </w:r>
      <w:proofErr w:type="gramEnd"/>
      <w:r w:rsidRPr="0071133E">
        <w:t xml:space="preserve"> survivors but also meticulously documents case histories while maintaining confidentiality, thereby balancing empathy with ethical responsibility and technical accuracy. </w:t>
      </w:r>
    </w:p>
    <w:p w14:paraId="3EA4ED4A" w14:textId="77777777" w:rsidR="00E752D5" w:rsidRDefault="0071133E" w:rsidP="00B330CB">
      <w:pPr>
        <w:pStyle w:val="ListParagraph"/>
        <w:ind w:left="410"/>
        <w:rPr>
          <w:b/>
          <w:bCs/>
        </w:rPr>
      </w:pPr>
      <w:r w:rsidRPr="00E752D5">
        <w:rPr>
          <w:b/>
          <w:bCs/>
        </w:rPr>
        <w:t>3. Practice: Real-World Application and Engagement</w:t>
      </w:r>
    </w:p>
    <w:p w14:paraId="4725620A" w14:textId="2E9F9C8D" w:rsidR="00E752D5" w:rsidRDefault="00A060F2" w:rsidP="00B330CB">
      <w:pPr>
        <w:pStyle w:val="ListParagraph"/>
        <w:ind w:left="410"/>
      </w:pPr>
      <w:r>
        <w:t xml:space="preserve">                     </w:t>
      </w:r>
      <w:r w:rsidR="0071133E" w:rsidRPr="0071133E">
        <w:t xml:space="preserve"> The practice dimension represents the culmination of a student’s academic training, encompassing the hands-on implementation of knowledge and skills in complex, real-life contexts. This includes: </w:t>
      </w:r>
    </w:p>
    <w:p w14:paraId="1FF24AAA" w14:textId="77777777" w:rsidR="00E752D5" w:rsidRDefault="0071133E" w:rsidP="00B330CB">
      <w:pPr>
        <w:pStyle w:val="ListParagraph"/>
        <w:ind w:left="410"/>
      </w:pPr>
      <w:r w:rsidRPr="0071133E">
        <w:t xml:space="preserve">• </w:t>
      </w:r>
      <w:r w:rsidRPr="004D5DE3">
        <w:rPr>
          <w:b/>
          <w:bCs/>
        </w:rPr>
        <w:t>Fieldwork engagement</w:t>
      </w:r>
      <w:r w:rsidRPr="0071133E">
        <w:t>: Actively participating in GBV case</w:t>
      </w:r>
    </w:p>
    <w:p w14:paraId="4F383A31" w14:textId="77777777" w:rsidR="00E752D5" w:rsidRDefault="0071133E" w:rsidP="00B330CB">
      <w:pPr>
        <w:pStyle w:val="ListParagraph"/>
        <w:ind w:left="410"/>
      </w:pPr>
      <w:r w:rsidRPr="0071133E">
        <w:t xml:space="preserve"> • s handled by hospitals, police departments, family courts, shelter homes, or NGOs— offering support, referrals, and advocacy.</w:t>
      </w:r>
    </w:p>
    <w:p w14:paraId="194A5B3C" w14:textId="77777777" w:rsidR="008C4807" w:rsidRDefault="0071133E" w:rsidP="00B330CB">
      <w:pPr>
        <w:pStyle w:val="ListParagraph"/>
        <w:ind w:left="410"/>
      </w:pPr>
      <w:r w:rsidRPr="0071133E">
        <w:t xml:space="preserve"> </w:t>
      </w:r>
      <w:r w:rsidRPr="004D5DE3">
        <w:rPr>
          <w:b/>
          <w:bCs/>
        </w:rPr>
        <w:t>• Policy implementation and monitoring</w:t>
      </w:r>
      <w:r w:rsidRPr="0071133E">
        <w:t>: Collaborating with state welfare programs such as Kudumbashree, Kerala’s flagship women’s empowerment initiative, to enhance economic and social inclusion.</w:t>
      </w:r>
    </w:p>
    <w:p w14:paraId="6D5F74BF" w14:textId="153B26C0" w:rsidR="00E752D5" w:rsidRDefault="0071133E" w:rsidP="00B330CB">
      <w:pPr>
        <w:pStyle w:val="ListParagraph"/>
        <w:ind w:left="410"/>
      </w:pPr>
      <w:r w:rsidRPr="0071133E">
        <w:t xml:space="preserve"> • </w:t>
      </w:r>
      <w:r w:rsidRPr="00F4711B">
        <w:rPr>
          <w:b/>
          <w:bCs/>
        </w:rPr>
        <w:t>Ethical decision-making</w:t>
      </w:r>
      <w:r w:rsidRPr="0071133E">
        <w:t>: Navigating sensitive dilemmas—for example, when supporting a domestic violence survivor who is facing pressure from her family to remain silent, or when managing community resistance during awareness campaigns.</w:t>
      </w:r>
    </w:p>
    <w:p w14:paraId="0A0DD9A4" w14:textId="77777777" w:rsidR="00E752D5" w:rsidRDefault="0071133E" w:rsidP="00B330CB">
      <w:pPr>
        <w:pStyle w:val="ListParagraph"/>
        <w:ind w:left="410"/>
      </w:pPr>
      <w:r w:rsidRPr="0071133E">
        <w:t xml:space="preserve"> • </w:t>
      </w:r>
      <w:r w:rsidRPr="00F4711B">
        <w:rPr>
          <w:b/>
          <w:bCs/>
        </w:rPr>
        <w:t>Interdisciplinary collaboration</w:t>
      </w:r>
      <w:r w:rsidRPr="0071133E">
        <w:t>: Coordinating with stakeholders such as legal aid professionals, psychologists, public health workers, and grassroots activists to ensure a holistic, survivor-centered response to gender injustice.</w:t>
      </w:r>
    </w:p>
    <w:p w14:paraId="0809AD4B" w14:textId="4D7607E1" w:rsidR="00E752D5" w:rsidRDefault="00F4711B" w:rsidP="00B330CB">
      <w:pPr>
        <w:pStyle w:val="ListParagraph"/>
        <w:ind w:left="410"/>
      </w:pPr>
      <w:r>
        <w:t xml:space="preserve">                                                             </w:t>
      </w:r>
      <w:r w:rsidR="0071133E" w:rsidRPr="0071133E">
        <w:t xml:space="preserve"> Example: A student initiates and leads a campaign in their college against cyber harassment, integrating insights from classroom discussions, legal frameworks, and peer consultations to promote a safe digital space.</w:t>
      </w:r>
    </w:p>
    <w:p w14:paraId="33BC0937" w14:textId="77777777" w:rsidR="003946ED" w:rsidRDefault="0071133E" w:rsidP="00B330CB">
      <w:pPr>
        <w:pStyle w:val="ListParagraph"/>
        <w:ind w:left="410"/>
      </w:pPr>
      <w:r w:rsidRPr="0071133E">
        <w:t xml:space="preserve"> Certainly! Here's an expanded conclusion for your research, providing a comprehensive synthesis of the key themes explored in the study:</w:t>
      </w:r>
    </w:p>
    <w:p w14:paraId="3885589F" w14:textId="77777777" w:rsidR="003946ED" w:rsidRDefault="003946ED" w:rsidP="00B330CB">
      <w:pPr>
        <w:pStyle w:val="ListParagraph"/>
        <w:ind w:left="410"/>
      </w:pPr>
    </w:p>
    <w:p w14:paraId="6287255C" w14:textId="77777777" w:rsidR="003946ED" w:rsidRPr="00250C3B" w:rsidRDefault="0071133E" w:rsidP="00B330CB">
      <w:pPr>
        <w:pStyle w:val="ListParagraph"/>
        <w:ind w:left="410"/>
        <w:rPr>
          <w:sz w:val="24"/>
          <w:szCs w:val="24"/>
        </w:rPr>
      </w:pPr>
      <w:r w:rsidRPr="003946ED">
        <w:rPr>
          <w:b/>
          <w:bCs/>
        </w:rPr>
        <w:t xml:space="preserve"> </w:t>
      </w:r>
      <w:r w:rsidRPr="00250C3B">
        <w:rPr>
          <w:b/>
          <w:bCs/>
          <w:sz w:val="24"/>
          <w:szCs w:val="24"/>
        </w:rPr>
        <w:t>Empowering Social Work Education for Gender Justice</w:t>
      </w:r>
      <w:r w:rsidRPr="00250C3B">
        <w:rPr>
          <w:sz w:val="24"/>
          <w:szCs w:val="24"/>
        </w:rPr>
        <w:t xml:space="preserve"> </w:t>
      </w:r>
    </w:p>
    <w:p w14:paraId="13D17B46" w14:textId="77777777" w:rsidR="00F4711B" w:rsidRDefault="00F4711B" w:rsidP="00B330CB">
      <w:pPr>
        <w:pStyle w:val="ListParagraph"/>
        <w:ind w:left="410"/>
      </w:pPr>
    </w:p>
    <w:p w14:paraId="34AFED84" w14:textId="3F39FAAB" w:rsidR="00A8243D" w:rsidRDefault="00F4711B" w:rsidP="00B330CB">
      <w:pPr>
        <w:pStyle w:val="ListParagraph"/>
        <w:ind w:left="410"/>
        <w:rPr>
          <w:b/>
          <w:bCs/>
        </w:rPr>
      </w:pPr>
      <w:r>
        <w:t xml:space="preserve">                                                  </w:t>
      </w:r>
      <w:r w:rsidR="0071133E" w:rsidRPr="0071133E">
        <w:t xml:space="preserve">This research aimed to assess the gender competencies of final-year Master of Social Work (MSW) students at Mahatma Gandhi (MG) University, Kerala, with a focus on their preparedness to address gender-based inequalities and violence (GBV). Gender competencies are essential for social workers as they equip professionals with the knowledge, skills, and practical capabilities required to effectively engage with and challenge the deep-rooted gender disparities that persist in societies globally. By evaluating these competencies, this study seeks to shed light on the current </w:t>
      </w:r>
      <w:r w:rsidR="0071133E" w:rsidRPr="0071133E">
        <w:lastRenderedPageBreak/>
        <w:t>state of social work education in Kerala, identifying both its strengths and gaps in preparing students to confront gender injustice. Throughout the course of this research, the framework established by UNESCO on gender competencies has provided a vital lens for analyzing the preparedness of MSW students in terms of their knowledge, skills, and practical application. The findings from this study emphasize the necessity for a robust and comprehensive gender-sensitive curriculum, which integrates theoretical understanding, practical skills, and real-world application. This conclusion synthesizes the findings, addresses the challenges faced by students, and suggests actionable recommendations for enhancing social work education</w:t>
      </w:r>
      <w:r w:rsidR="0071133E" w:rsidRPr="00A8243D">
        <w:rPr>
          <w:b/>
          <w:bCs/>
        </w:rPr>
        <w:t>.</w:t>
      </w:r>
    </w:p>
    <w:p w14:paraId="23C08A7E" w14:textId="77777777" w:rsidR="00F4711B" w:rsidRDefault="00F4711B" w:rsidP="00B330CB">
      <w:pPr>
        <w:pStyle w:val="ListParagraph"/>
        <w:ind w:left="410"/>
        <w:rPr>
          <w:b/>
          <w:bCs/>
        </w:rPr>
      </w:pPr>
    </w:p>
    <w:p w14:paraId="574DFACC" w14:textId="77777777" w:rsidR="00F4711B" w:rsidRDefault="00F4711B" w:rsidP="00B330CB">
      <w:pPr>
        <w:pStyle w:val="ListParagraph"/>
        <w:ind w:left="410"/>
        <w:rPr>
          <w:b/>
          <w:bCs/>
        </w:rPr>
      </w:pPr>
    </w:p>
    <w:p w14:paraId="0EA77055" w14:textId="77777777" w:rsidR="00F4711B" w:rsidRDefault="00F4711B" w:rsidP="00B330CB">
      <w:pPr>
        <w:pStyle w:val="ListParagraph"/>
        <w:ind w:left="410"/>
        <w:rPr>
          <w:b/>
          <w:bCs/>
        </w:rPr>
      </w:pPr>
    </w:p>
    <w:p w14:paraId="6BA8B780" w14:textId="77777777" w:rsidR="00F4711B" w:rsidRDefault="00F4711B" w:rsidP="00B330CB">
      <w:pPr>
        <w:pStyle w:val="ListParagraph"/>
        <w:ind w:left="410"/>
        <w:rPr>
          <w:b/>
          <w:bCs/>
        </w:rPr>
      </w:pPr>
    </w:p>
    <w:p w14:paraId="5A95C347" w14:textId="77777777" w:rsidR="00F4711B" w:rsidRDefault="00F4711B" w:rsidP="00B330CB">
      <w:pPr>
        <w:pStyle w:val="ListParagraph"/>
        <w:ind w:left="410"/>
        <w:rPr>
          <w:b/>
          <w:bCs/>
        </w:rPr>
      </w:pPr>
    </w:p>
    <w:p w14:paraId="4EEF326F" w14:textId="42949E9D" w:rsidR="00A8243D" w:rsidRPr="00250C3B" w:rsidRDefault="0071133E" w:rsidP="00B330CB">
      <w:pPr>
        <w:pStyle w:val="ListParagraph"/>
        <w:ind w:left="410"/>
        <w:rPr>
          <w:sz w:val="24"/>
          <w:szCs w:val="24"/>
        </w:rPr>
      </w:pPr>
      <w:r w:rsidRPr="00A8243D">
        <w:rPr>
          <w:b/>
          <w:bCs/>
        </w:rPr>
        <w:t xml:space="preserve"> </w:t>
      </w:r>
      <w:r w:rsidRPr="00250C3B">
        <w:rPr>
          <w:b/>
          <w:bCs/>
          <w:sz w:val="24"/>
          <w:szCs w:val="24"/>
        </w:rPr>
        <w:t>Reflections on Knowledge, Skills, and Practice</w:t>
      </w:r>
      <w:r w:rsidRPr="00250C3B">
        <w:rPr>
          <w:sz w:val="24"/>
          <w:szCs w:val="24"/>
        </w:rPr>
        <w:t xml:space="preserve"> </w:t>
      </w:r>
    </w:p>
    <w:p w14:paraId="26E44CA0" w14:textId="77777777" w:rsidR="00EE0125" w:rsidRDefault="00EE0125" w:rsidP="00B330CB">
      <w:pPr>
        <w:pStyle w:val="ListParagraph"/>
        <w:ind w:left="410"/>
      </w:pPr>
      <w:r>
        <w:t xml:space="preserve">                              </w:t>
      </w:r>
    </w:p>
    <w:p w14:paraId="26BC107F" w14:textId="5844FD22" w:rsidR="003946ED" w:rsidRDefault="00EE0125" w:rsidP="00B330CB">
      <w:pPr>
        <w:pStyle w:val="ListParagraph"/>
        <w:ind w:left="410"/>
      </w:pPr>
      <w:r>
        <w:t xml:space="preserve">                                                </w:t>
      </w:r>
      <w:r w:rsidR="0071133E" w:rsidRPr="0071133E">
        <w:t>The study identified three core dimensions that constitute the gender competencies of MSW students: knowledge, skills, and practice. Each of these dimensions plays a critical role in enabling students to address gender-based violence and inequality effectively.</w:t>
      </w:r>
    </w:p>
    <w:p w14:paraId="1A815816" w14:textId="77777777" w:rsidR="00EE0125" w:rsidRDefault="00EE0125" w:rsidP="00B330CB">
      <w:pPr>
        <w:pStyle w:val="ListParagraph"/>
        <w:ind w:left="410"/>
        <w:rPr>
          <w:b/>
          <w:bCs/>
        </w:rPr>
      </w:pPr>
    </w:p>
    <w:p w14:paraId="5D7B50FB" w14:textId="69AFDB6A" w:rsidR="003946ED" w:rsidRPr="00250C3B" w:rsidRDefault="0071133E" w:rsidP="00B330CB">
      <w:pPr>
        <w:pStyle w:val="ListParagraph"/>
        <w:ind w:left="410"/>
        <w:rPr>
          <w:sz w:val="24"/>
          <w:szCs w:val="24"/>
        </w:rPr>
      </w:pPr>
      <w:r w:rsidRPr="003946ED">
        <w:rPr>
          <w:b/>
          <w:bCs/>
        </w:rPr>
        <w:t xml:space="preserve"> </w:t>
      </w:r>
      <w:r w:rsidRPr="00250C3B">
        <w:rPr>
          <w:b/>
          <w:bCs/>
          <w:sz w:val="24"/>
          <w:szCs w:val="24"/>
        </w:rPr>
        <w:t>Knowledge</w:t>
      </w:r>
      <w:r w:rsidRPr="00250C3B">
        <w:rPr>
          <w:sz w:val="24"/>
          <w:szCs w:val="24"/>
        </w:rPr>
        <w:t xml:space="preserve"> </w:t>
      </w:r>
    </w:p>
    <w:p w14:paraId="0D2153C2" w14:textId="77777777" w:rsidR="00D268B2" w:rsidRDefault="00EE0125" w:rsidP="00B330CB">
      <w:pPr>
        <w:pStyle w:val="ListParagraph"/>
        <w:ind w:left="410"/>
      </w:pPr>
      <w:r>
        <w:t xml:space="preserve">                                     </w:t>
      </w:r>
      <w:r w:rsidR="0071133E" w:rsidRPr="0071133E">
        <w:t>The knowledge dimension focuses on the theoretical and conceptual understanding of gender issues, including the social construction of gender roles, the various forms of gender-based inequality, and the laws and policies that support gender justice. This research highlighted the importance of students being well-versed in foundational gender concepts such as patriarchy, intersectionality, and gender-based violence (GBV). Students who demonstrate a sound understanding of these concepts are more likely to critically engage with real-world gender issues, analyze underlying systemic causes, and advocate for effective policy changes.</w:t>
      </w:r>
    </w:p>
    <w:p w14:paraId="07EBD858" w14:textId="77777777" w:rsidR="006E5171" w:rsidRDefault="00D268B2" w:rsidP="00B330CB">
      <w:pPr>
        <w:pStyle w:val="ListParagraph"/>
        <w:ind w:left="410"/>
      </w:pPr>
      <w:r>
        <w:t xml:space="preserve">                                                </w:t>
      </w:r>
      <w:r w:rsidR="0071133E" w:rsidRPr="0071133E">
        <w:t xml:space="preserve"> The study found that while MSW students at MG University had a reasonable grasp of gender concepts, there were noticeable gaps in their comprehension of intersectionality—how factors like caste, class, and religion intersect with gender-based oppression. This gap suggests a need for a deeper exploration of how </w:t>
      </w:r>
      <w:r w:rsidR="0071133E" w:rsidRPr="0071133E">
        <w:lastRenderedPageBreak/>
        <w:t>gender cannot be understood in isolation but must be considered within a broader framework of social inequality.</w:t>
      </w:r>
    </w:p>
    <w:p w14:paraId="7FF1ADA4" w14:textId="47244390" w:rsidR="00603913" w:rsidRDefault="006E5171" w:rsidP="00B330CB">
      <w:pPr>
        <w:pStyle w:val="ListParagraph"/>
        <w:ind w:left="410"/>
      </w:pPr>
      <w:r>
        <w:t xml:space="preserve">                                                         </w:t>
      </w:r>
      <w:r w:rsidR="0071133E" w:rsidRPr="0071133E">
        <w:t xml:space="preserve"> Moreover, the students demonstrated some familiarity with national and international gender justice frameworks, including legal provisions like the Protection of Women from Domestic Violence Act (PWDVA 2005) and the Sexual Harassment of Women at Workplace (POSH Act 2013). However, students were less knowledgeable about emerging issues, such as digital forms of violence and the specific challenges faced by gender minorities, including LGBTQ+ individuals. The research recommends incorporating more contemporary gender justice topics and case studies into the curriculum to better equip students with up-to-date knowledge. </w:t>
      </w:r>
    </w:p>
    <w:p w14:paraId="2F45CCF2" w14:textId="77777777" w:rsidR="006E5171" w:rsidRDefault="006E5171" w:rsidP="00B330CB">
      <w:pPr>
        <w:pStyle w:val="ListParagraph"/>
        <w:ind w:left="410"/>
        <w:rPr>
          <w:b/>
          <w:bCs/>
        </w:rPr>
      </w:pPr>
    </w:p>
    <w:p w14:paraId="1FE0B0FA" w14:textId="77777777" w:rsidR="006E5171" w:rsidRDefault="006E5171" w:rsidP="00B330CB">
      <w:pPr>
        <w:pStyle w:val="ListParagraph"/>
        <w:ind w:left="410"/>
        <w:rPr>
          <w:b/>
          <w:bCs/>
        </w:rPr>
      </w:pPr>
    </w:p>
    <w:p w14:paraId="2AB08736" w14:textId="77777777" w:rsidR="006E5171" w:rsidRDefault="006E5171" w:rsidP="00B330CB">
      <w:pPr>
        <w:pStyle w:val="ListParagraph"/>
        <w:ind w:left="410"/>
        <w:rPr>
          <w:b/>
          <w:bCs/>
        </w:rPr>
      </w:pPr>
    </w:p>
    <w:p w14:paraId="1B04D160" w14:textId="77777777" w:rsidR="006E5171" w:rsidRDefault="006E5171" w:rsidP="00B330CB">
      <w:pPr>
        <w:pStyle w:val="ListParagraph"/>
        <w:ind w:left="410"/>
        <w:rPr>
          <w:b/>
          <w:bCs/>
        </w:rPr>
      </w:pPr>
    </w:p>
    <w:p w14:paraId="7F650EAD" w14:textId="513FE36E" w:rsidR="00603913" w:rsidRDefault="0071133E" w:rsidP="00B330CB">
      <w:pPr>
        <w:pStyle w:val="ListParagraph"/>
        <w:ind w:left="410"/>
        <w:rPr>
          <w:b/>
          <w:bCs/>
        </w:rPr>
      </w:pPr>
      <w:r w:rsidRPr="00603913">
        <w:rPr>
          <w:b/>
          <w:bCs/>
        </w:rPr>
        <w:t xml:space="preserve">Skills </w:t>
      </w:r>
    </w:p>
    <w:p w14:paraId="720CE0A2" w14:textId="77777777" w:rsidR="00A3339A" w:rsidRDefault="00A3339A" w:rsidP="00B330CB">
      <w:pPr>
        <w:pStyle w:val="ListParagraph"/>
        <w:ind w:left="410"/>
      </w:pPr>
    </w:p>
    <w:p w14:paraId="50DC42BB" w14:textId="77777777" w:rsidR="00132416" w:rsidRDefault="006E5171" w:rsidP="00B330CB">
      <w:pPr>
        <w:pStyle w:val="ListParagraph"/>
        <w:ind w:left="410"/>
      </w:pPr>
      <w:r>
        <w:t xml:space="preserve">                                       </w:t>
      </w:r>
      <w:r w:rsidR="0071133E" w:rsidRPr="0071133E">
        <w:t>The skills dimension refers to the practical abilities required for social workers to engage in gender-sensitive interventions. This includes the capacity to communicate empathetically, advocate for policy change, engage in crisis intervention, and work collaboratively with various stakeholders. The research found that while students demonstrated competence in gender-sensitive communication and counseling, their skills in advocacy and community mobilization were less developed.</w:t>
      </w:r>
    </w:p>
    <w:p w14:paraId="36CFBF1F" w14:textId="77777777" w:rsidR="00A3339A" w:rsidRDefault="00A3339A" w:rsidP="00B330CB">
      <w:pPr>
        <w:pStyle w:val="ListParagraph"/>
        <w:ind w:left="410"/>
      </w:pPr>
    </w:p>
    <w:p w14:paraId="389F0803" w14:textId="77777777" w:rsidR="00132416" w:rsidRDefault="00132416" w:rsidP="00B330CB">
      <w:pPr>
        <w:pStyle w:val="ListParagraph"/>
        <w:ind w:left="410"/>
      </w:pPr>
      <w:r>
        <w:t xml:space="preserve">                                                                 </w:t>
      </w:r>
      <w:r w:rsidR="0071133E" w:rsidRPr="0071133E">
        <w:t xml:space="preserve"> Many students struggled with advocating for gender justice in real-world settings, particularly when engaging with institutional actors, such as the police, legal professionals, and government officials. The lack of robust training in advocacy and policy engagement may hinder their ability to effectively influence change at the systemic level. </w:t>
      </w:r>
    </w:p>
    <w:p w14:paraId="520F2AF1" w14:textId="77777777" w:rsidR="00A3339A" w:rsidRDefault="00A3339A" w:rsidP="00B330CB">
      <w:pPr>
        <w:pStyle w:val="ListParagraph"/>
        <w:ind w:left="410"/>
      </w:pPr>
    </w:p>
    <w:p w14:paraId="354877DC" w14:textId="0EBE3FC1" w:rsidR="00751F3A" w:rsidRDefault="00132416" w:rsidP="00B330CB">
      <w:pPr>
        <w:pStyle w:val="ListParagraph"/>
        <w:ind w:left="410"/>
      </w:pPr>
      <w:r>
        <w:t xml:space="preserve">                                  </w:t>
      </w:r>
      <w:r w:rsidR="0071133E" w:rsidRPr="0071133E">
        <w:t>On the positive side, students were able to engage in crisis intervention and safety planning when dealing with survivors of gender-</w:t>
      </w:r>
      <w:proofErr w:type="spellStart"/>
      <w:r w:rsidR="0071133E" w:rsidRPr="0071133E">
        <w:t>basedviolence</w:t>
      </w:r>
      <w:proofErr w:type="spellEnd"/>
      <w:r w:rsidR="0071133E" w:rsidRPr="0071133E">
        <w:t xml:space="preserve">, such as through referrals to shelters or legal aid. These skills were often demonstrated in internship settings where students worked directly with NGOs or community-based organizations. However, the research also revealed that students had limited exposure to </w:t>
      </w:r>
      <w:r w:rsidR="0071133E" w:rsidRPr="0071133E">
        <w:lastRenderedPageBreak/>
        <w:t>interdisciplinary collaboration, which is crucial for addressing gender-based violence holistically. Collaborating with legal experts, psychologists, and healthcare providers would provide students with a more rounded understanding of how to approach gender justice issues.</w:t>
      </w:r>
    </w:p>
    <w:p w14:paraId="4ABA2B8A" w14:textId="77777777" w:rsidR="003C0E65" w:rsidRDefault="003C0E65" w:rsidP="00B330CB">
      <w:pPr>
        <w:pStyle w:val="ListParagraph"/>
        <w:ind w:left="410"/>
      </w:pPr>
    </w:p>
    <w:p w14:paraId="673EFEE1" w14:textId="6EDDB6C9" w:rsidR="00751F3A" w:rsidRDefault="0071133E" w:rsidP="00B330CB">
      <w:pPr>
        <w:pStyle w:val="ListParagraph"/>
        <w:ind w:left="410"/>
      </w:pPr>
      <w:r w:rsidRPr="0071133E">
        <w:t xml:space="preserve"> </w:t>
      </w:r>
      <w:r w:rsidRPr="00751F3A">
        <w:rPr>
          <w:b/>
          <w:bCs/>
        </w:rPr>
        <w:t>Practice</w:t>
      </w:r>
    </w:p>
    <w:p w14:paraId="22E1F54E" w14:textId="77777777" w:rsidR="003C0E65" w:rsidRDefault="003C0E65" w:rsidP="00B330CB">
      <w:pPr>
        <w:pStyle w:val="ListParagraph"/>
        <w:ind w:left="410"/>
      </w:pPr>
    </w:p>
    <w:p w14:paraId="4D791B54" w14:textId="77777777" w:rsidR="007240B6" w:rsidRDefault="003C0E65" w:rsidP="00B330CB">
      <w:pPr>
        <w:pStyle w:val="ListParagraph"/>
        <w:ind w:left="410"/>
      </w:pPr>
      <w:r>
        <w:t xml:space="preserve">                             </w:t>
      </w:r>
      <w:r w:rsidR="0071133E" w:rsidRPr="0071133E">
        <w:t xml:space="preserve"> The practice dimension is the real-world application of both knowledge and skills in direct service delivery and policy implementation. This includes fieldwork placements, where students engage in community-based interventions and address gender-related issues. Field placements serve as the final testing ground for the integration of classroom learning into professional practice, and it was here that many students faced significant challenges. </w:t>
      </w:r>
    </w:p>
    <w:p w14:paraId="49D0BFFD" w14:textId="77777777" w:rsidR="00E544F7" w:rsidRDefault="007240B6" w:rsidP="00B330CB">
      <w:pPr>
        <w:pStyle w:val="ListParagraph"/>
        <w:ind w:left="410"/>
      </w:pPr>
      <w:r>
        <w:t xml:space="preserve">                                                                       </w:t>
      </w:r>
      <w:r w:rsidR="0071133E" w:rsidRPr="0071133E">
        <w:t xml:space="preserve">Students in this study reported challenges such as institutional barriers (e.g., inadequate supervision or limited support from field agencies), ethical dilemmas (e.g., navigating family pressures or conflicts of interest), and fieldwork limitations (e.g., logistical challenges in reaching marginalized communities). These barriers often impeded their ability to apply gender competencies effectively in real-world settings. </w:t>
      </w:r>
    </w:p>
    <w:p w14:paraId="6621C76C" w14:textId="77777777" w:rsidR="00E544F7" w:rsidRDefault="00E544F7" w:rsidP="00B330CB">
      <w:pPr>
        <w:pStyle w:val="ListParagraph"/>
        <w:ind w:left="410"/>
      </w:pPr>
      <w:r>
        <w:t xml:space="preserve">                                        </w:t>
      </w:r>
      <w:r w:rsidR="0071133E" w:rsidRPr="0071133E">
        <w:t xml:space="preserve">One critical challenge identified was the lack of coordination between MG University and local NGOs or government bodies, which sometimes led to poorly structured field placements. There were instances where students felt unprepared for the emotional and psychological toll of working with survivors of gender-based violence, particularly in high stress environments like police stations or shelters. To address this, the research recommends that MG University enhance its field placement coordination, ensuring that students are adequately supported and trained for the specific challenges they will face in the field. </w:t>
      </w:r>
    </w:p>
    <w:p w14:paraId="626CD481" w14:textId="77777777" w:rsidR="00E544F7" w:rsidRDefault="00E544F7" w:rsidP="00B330CB">
      <w:pPr>
        <w:pStyle w:val="ListParagraph"/>
        <w:ind w:left="410"/>
      </w:pPr>
    </w:p>
    <w:p w14:paraId="53562D58" w14:textId="38EC75B8" w:rsidR="006142E2" w:rsidRPr="009C6A88" w:rsidRDefault="0071133E" w:rsidP="00B330CB">
      <w:pPr>
        <w:pStyle w:val="ListParagraph"/>
        <w:ind w:left="410"/>
        <w:rPr>
          <w:b/>
          <w:bCs/>
          <w:sz w:val="24"/>
          <w:szCs w:val="24"/>
        </w:rPr>
      </w:pPr>
      <w:r w:rsidRPr="009C6A88">
        <w:rPr>
          <w:b/>
          <w:bCs/>
          <w:sz w:val="24"/>
          <w:szCs w:val="24"/>
        </w:rPr>
        <w:t>Recommendations for Enhancing Social Work Education</w:t>
      </w:r>
    </w:p>
    <w:p w14:paraId="0CFB6304" w14:textId="77777777" w:rsidR="00E544F7" w:rsidRPr="00E544F7" w:rsidRDefault="00E544F7" w:rsidP="00B330CB">
      <w:pPr>
        <w:pStyle w:val="ListParagraph"/>
        <w:ind w:left="410"/>
      </w:pPr>
    </w:p>
    <w:p w14:paraId="5A581DEB" w14:textId="77777777" w:rsidR="00781766" w:rsidRDefault="0071133E" w:rsidP="00B330CB">
      <w:pPr>
        <w:pStyle w:val="ListParagraph"/>
        <w:ind w:left="410"/>
      </w:pPr>
      <w:r w:rsidRPr="006142E2">
        <w:t xml:space="preserve"> </w:t>
      </w:r>
      <w:r w:rsidRPr="0071133E">
        <w:t xml:space="preserve">The findings from this study offer several actionable recommendations for improving the preparation of MSW students at MG University and beyond. </w:t>
      </w:r>
    </w:p>
    <w:p w14:paraId="11291797" w14:textId="77777777" w:rsidR="00E544F7" w:rsidRDefault="00E544F7" w:rsidP="00B330CB">
      <w:pPr>
        <w:pStyle w:val="ListParagraph"/>
        <w:ind w:left="410"/>
      </w:pPr>
    </w:p>
    <w:p w14:paraId="3E8ED0F2" w14:textId="77777777" w:rsidR="00781766" w:rsidRDefault="0071133E" w:rsidP="00B330CB">
      <w:pPr>
        <w:pStyle w:val="ListParagraph"/>
        <w:ind w:left="410"/>
      </w:pPr>
      <w:r w:rsidRPr="0071133E">
        <w:lastRenderedPageBreak/>
        <w:t>1</w:t>
      </w:r>
      <w:r w:rsidRPr="00E544F7">
        <w:rPr>
          <w:b/>
          <w:bCs/>
        </w:rPr>
        <w:t>. Curriculum Enhancement</w:t>
      </w:r>
      <w:r w:rsidRPr="0071133E">
        <w:t>: The inclusion of more comprehensive gender studies courses that cover a broader range of gender issues—such as digital violence, intersectionality, and LGBTQ+ rights—would ensure that students are better equipped to address contemporary gender justice challenges. The curriculum should also focus on advocacy and policy engagement, providing students with the tools needed to work with government institutions, NGOs, and marginalized communities to implement effective change.</w:t>
      </w:r>
    </w:p>
    <w:p w14:paraId="00858A58" w14:textId="77777777" w:rsidR="00781766" w:rsidRDefault="0071133E" w:rsidP="00B330CB">
      <w:pPr>
        <w:pStyle w:val="ListParagraph"/>
        <w:ind w:left="410"/>
      </w:pPr>
      <w:r w:rsidRPr="0071133E">
        <w:t xml:space="preserve"> 2. </w:t>
      </w:r>
      <w:r w:rsidRPr="00E544F7">
        <w:rPr>
          <w:b/>
          <w:bCs/>
        </w:rPr>
        <w:t>Fieldwork Improvement</w:t>
      </w:r>
      <w:r w:rsidRPr="0071133E">
        <w:t xml:space="preserve">: Strengthening the link between academic institutions and fieldwork agencies is essential. MG University could establish stronger partnerships with NGOs, government departments, and other stakeholders to create more structured, supervised, and meaningful field placements. Students should be better prepared for the challenges of direct service work, especially when dealing with sensitive cases of gender-based violence. </w:t>
      </w:r>
    </w:p>
    <w:p w14:paraId="54BC763E" w14:textId="77777777" w:rsidR="00F50E22" w:rsidRDefault="0071133E" w:rsidP="00B330CB">
      <w:pPr>
        <w:pStyle w:val="ListParagraph"/>
        <w:ind w:left="410"/>
      </w:pPr>
      <w:r w:rsidRPr="0071133E">
        <w:t>3</w:t>
      </w:r>
      <w:r w:rsidRPr="00E544F7">
        <w:rPr>
          <w:b/>
          <w:bCs/>
        </w:rPr>
        <w:t>. Interdisciplinary Collaboration</w:t>
      </w:r>
      <w:r w:rsidRPr="0071133E">
        <w:t xml:space="preserve">: Integrating interdisciplinary learning into the MSW curriculum—such as joint courses or collaborative projects with law, psychology, and public health departments—could provide students with a more holistic understanding </w:t>
      </w:r>
    </w:p>
    <w:p w14:paraId="738E392F" w14:textId="77777777" w:rsidR="00F50E22" w:rsidRDefault="00F50E22" w:rsidP="00B330CB">
      <w:pPr>
        <w:pStyle w:val="ListParagraph"/>
        <w:ind w:left="410"/>
      </w:pPr>
    </w:p>
    <w:p w14:paraId="2A00F54D" w14:textId="77777777" w:rsidR="00F50E22" w:rsidRDefault="00F50E22" w:rsidP="00B330CB">
      <w:pPr>
        <w:pStyle w:val="ListParagraph"/>
        <w:ind w:left="410"/>
      </w:pPr>
    </w:p>
    <w:p w14:paraId="0A758718" w14:textId="77777777" w:rsidR="00F50E22" w:rsidRDefault="00F50E22" w:rsidP="00B330CB">
      <w:pPr>
        <w:pStyle w:val="ListParagraph"/>
        <w:ind w:left="410"/>
      </w:pPr>
    </w:p>
    <w:p w14:paraId="416892C9" w14:textId="01CF5827" w:rsidR="00781766" w:rsidRDefault="0071133E" w:rsidP="00B330CB">
      <w:pPr>
        <w:pStyle w:val="ListParagraph"/>
        <w:ind w:left="410"/>
      </w:pPr>
      <w:r w:rsidRPr="0071133E">
        <w:t>of the issues they will encounter in the field. Collaborative learning would foster better teamwork skills and improve students’ ability to work across sectors.</w:t>
      </w:r>
    </w:p>
    <w:p w14:paraId="5C35C108" w14:textId="77777777" w:rsidR="008C4807" w:rsidRDefault="0071133E" w:rsidP="00B330CB">
      <w:pPr>
        <w:pStyle w:val="ListParagraph"/>
        <w:ind w:left="410"/>
      </w:pPr>
      <w:r w:rsidRPr="0071133E">
        <w:t xml:space="preserve"> 4</w:t>
      </w:r>
      <w:r w:rsidRPr="00F50E22">
        <w:rPr>
          <w:b/>
          <w:bCs/>
        </w:rPr>
        <w:t>. Supervision and Support</w:t>
      </w:r>
      <w:r w:rsidRPr="0071133E">
        <w:t>: Providing more consistent and effective supervision during field placements is crucial. Students should receive regular feedback and guidance from experienced social work practitioners to navigate the complexities of gender-based violence cases. Additionally, universities should offer emotional support and debriefing sessions to help students cope with the emotional demands of working with survivors of violence.</w:t>
      </w:r>
    </w:p>
    <w:p w14:paraId="091CD51C" w14:textId="6C761A79" w:rsidR="0071133E" w:rsidRDefault="00F50E22" w:rsidP="00B330CB">
      <w:pPr>
        <w:pStyle w:val="ListParagraph"/>
        <w:ind w:left="410"/>
      </w:pPr>
      <w:r>
        <w:t xml:space="preserve">                                            </w:t>
      </w:r>
      <w:r w:rsidR="0071133E" w:rsidRPr="0071133E">
        <w:t xml:space="preserve"> In conclusion, this research underscores the importance of gender competencies in social work education. The study highlights the need for a holistic approach to training social workers who are equipped not only with knowledge and skills but also with the practical experience to address gender-based violence and inequality in diverse contexts. By enhancing curriculum design, strengthening fieldwork placements, and fostering interdisciplinary collaboration, social work education can better prepare students to become advocates for gender justice and agents of positive social change. </w:t>
      </w:r>
      <w:r w:rsidR="0071133E" w:rsidRPr="0071133E">
        <w:lastRenderedPageBreak/>
        <w:t>This research also contributes to the broader discourse on social work pedagogy, offering insights that can inform policy development and academic practice both within India and globally. Ultimately, ensuring that social work students are well-equipped to navigate the complexities of gender-based violence will lead to more effective interventions and a more just society for all.</w:t>
      </w:r>
    </w:p>
    <w:p w14:paraId="4DF9FC63" w14:textId="77777777" w:rsidR="00B20F84" w:rsidRDefault="00B20F84" w:rsidP="00B330CB">
      <w:pPr>
        <w:pStyle w:val="ListParagraph"/>
        <w:ind w:left="410"/>
      </w:pPr>
    </w:p>
    <w:p w14:paraId="5E198D67" w14:textId="77777777" w:rsidR="00B20F84" w:rsidRDefault="00B20F84" w:rsidP="00B74E08">
      <w:pPr>
        <w:pStyle w:val="ListParagraph"/>
        <w:spacing w:line="480" w:lineRule="auto"/>
        <w:ind w:left="410"/>
      </w:pPr>
    </w:p>
    <w:p w14:paraId="19113303" w14:textId="77777777" w:rsidR="00B20F84" w:rsidRDefault="00B20F84" w:rsidP="00B74E08">
      <w:pPr>
        <w:pStyle w:val="ListParagraph"/>
        <w:spacing w:line="480" w:lineRule="auto"/>
        <w:ind w:left="410"/>
      </w:pPr>
    </w:p>
    <w:p w14:paraId="5533319E" w14:textId="77777777" w:rsidR="00B20F84" w:rsidRDefault="00B20F84" w:rsidP="00B74E08">
      <w:pPr>
        <w:pStyle w:val="ListParagraph"/>
        <w:spacing w:line="480" w:lineRule="auto"/>
        <w:ind w:left="410"/>
      </w:pPr>
    </w:p>
    <w:p w14:paraId="22E0388A" w14:textId="77777777" w:rsidR="00B20F84" w:rsidRDefault="00B20F84" w:rsidP="00B74E08">
      <w:pPr>
        <w:pStyle w:val="ListParagraph"/>
        <w:spacing w:line="480" w:lineRule="auto"/>
        <w:ind w:left="410"/>
      </w:pPr>
    </w:p>
    <w:p w14:paraId="234FAAD2" w14:textId="77777777" w:rsidR="00B20F84" w:rsidRDefault="00B20F84" w:rsidP="00B74E08">
      <w:pPr>
        <w:pStyle w:val="ListParagraph"/>
        <w:spacing w:line="480" w:lineRule="auto"/>
        <w:ind w:left="410"/>
      </w:pPr>
    </w:p>
    <w:p w14:paraId="6CC25A8A" w14:textId="77777777" w:rsidR="00B20F84" w:rsidRDefault="00B20F84" w:rsidP="00A51AF8">
      <w:pPr>
        <w:pStyle w:val="ListParagraph"/>
        <w:ind w:left="410"/>
      </w:pPr>
    </w:p>
    <w:p w14:paraId="7B51AAB6" w14:textId="77777777" w:rsidR="00B20F84" w:rsidRDefault="00B20F84" w:rsidP="00A51AF8">
      <w:pPr>
        <w:pStyle w:val="ListParagraph"/>
        <w:ind w:left="410"/>
      </w:pPr>
    </w:p>
    <w:p w14:paraId="6800F50D" w14:textId="77777777" w:rsidR="00B20F84" w:rsidRDefault="00B20F84" w:rsidP="00A51AF8">
      <w:pPr>
        <w:pStyle w:val="ListParagraph"/>
        <w:ind w:left="410"/>
      </w:pPr>
    </w:p>
    <w:p w14:paraId="4B37F5CD" w14:textId="77777777" w:rsidR="00B20F84" w:rsidRDefault="00B20F84" w:rsidP="00A51AF8">
      <w:pPr>
        <w:pStyle w:val="ListParagraph"/>
        <w:ind w:left="410"/>
      </w:pPr>
    </w:p>
    <w:p w14:paraId="1D7CFDD0" w14:textId="77777777" w:rsidR="00B20F84" w:rsidRDefault="00B20F84" w:rsidP="00A51AF8">
      <w:pPr>
        <w:pStyle w:val="ListParagraph"/>
        <w:ind w:left="410"/>
      </w:pPr>
    </w:p>
    <w:p w14:paraId="100BD864" w14:textId="77777777" w:rsidR="00F50E22" w:rsidRDefault="00F50E22" w:rsidP="00A51AF8">
      <w:pPr>
        <w:pStyle w:val="ListParagraph"/>
        <w:ind w:left="410"/>
      </w:pPr>
    </w:p>
    <w:p w14:paraId="12E9F9A1" w14:textId="77777777" w:rsidR="00F50E22" w:rsidRDefault="00F50E22" w:rsidP="00A51AF8">
      <w:pPr>
        <w:pStyle w:val="ListParagraph"/>
        <w:ind w:left="410"/>
      </w:pPr>
    </w:p>
    <w:p w14:paraId="4B8807BF" w14:textId="77777777" w:rsidR="00F50E22" w:rsidRDefault="00F50E22" w:rsidP="00A51AF8">
      <w:pPr>
        <w:pStyle w:val="ListParagraph"/>
        <w:ind w:left="410"/>
      </w:pPr>
    </w:p>
    <w:p w14:paraId="186D9035" w14:textId="77777777" w:rsidR="00F50E22" w:rsidRDefault="00F50E22" w:rsidP="00A51AF8">
      <w:pPr>
        <w:pStyle w:val="ListParagraph"/>
        <w:ind w:left="410"/>
      </w:pPr>
    </w:p>
    <w:p w14:paraId="0333FD29" w14:textId="77777777" w:rsidR="00F50E22" w:rsidRDefault="00F50E22" w:rsidP="00A51AF8">
      <w:pPr>
        <w:pStyle w:val="ListParagraph"/>
        <w:ind w:left="410"/>
      </w:pPr>
    </w:p>
    <w:p w14:paraId="673658D2" w14:textId="77777777" w:rsidR="00F50E22" w:rsidRDefault="00F50E22" w:rsidP="00A51AF8">
      <w:pPr>
        <w:pStyle w:val="ListParagraph"/>
        <w:ind w:left="410"/>
      </w:pPr>
    </w:p>
    <w:p w14:paraId="60E90F6A" w14:textId="77777777" w:rsidR="00F50E22" w:rsidRDefault="00F50E22" w:rsidP="00A51AF8">
      <w:pPr>
        <w:pStyle w:val="ListParagraph"/>
        <w:ind w:left="410"/>
      </w:pPr>
    </w:p>
    <w:p w14:paraId="661FF03B" w14:textId="77777777" w:rsidR="00F50E22" w:rsidRDefault="00F50E22" w:rsidP="00A51AF8">
      <w:pPr>
        <w:pStyle w:val="ListParagraph"/>
        <w:ind w:left="410"/>
      </w:pPr>
    </w:p>
    <w:p w14:paraId="7FA9F344" w14:textId="77777777" w:rsidR="00F50E22" w:rsidRDefault="00F50E22" w:rsidP="00A51AF8">
      <w:pPr>
        <w:pStyle w:val="ListParagraph"/>
        <w:ind w:left="410"/>
      </w:pPr>
    </w:p>
    <w:p w14:paraId="67AF38B6" w14:textId="77777777" w:rsidR="00F50E22" w:rsidRDefault="00F50E22" w:rsidP="00A51AF8">
      <w:pPr>
        <w:pStyle w:val="ListParagraph"/>
        <w:ind w:left="410"/>
      </w:pPr>
    </w:p>
    <w:p w14:paraId="1B3CE817" w14:textId="77777777" w:rsidR="007F5642" w:rsidRDefault="007F5642" w:rsidP="00A51AF8">
      <w:pPr>
        <w:pStyle w:val="ListParagraph"/>
        <w:ind w:left="410"/>
      </w:pPr>
    </w:p>
    <w:p w14:paraId="495A2243" w14:textId="77777777" w:rsidR="007F5642" w:rsidRDefault="007F5642" w:rsidP="00A51AF8">
      <w:pPr>
        <w:pStyle w:val="ListParagraph"/>
        <w:ind w:left="410"/>
      </w:pPr>
    </w:p>
    <w:p w14:paraId="5C48B7C8" w14:textId="77777777" w:rsidR="007F5642" w:rsidRDefault="007F5642" w:rsidP="00A51AF8">
      <w:pPr>
        <w:pStyle w:val="ListParagraph"/>
        <w:ind w:left="410"/>
      </w:pPr>
    </w:p>
    <w:p w14:paraId="056E0BE3" w14:textId="77777777" w:rsidR="007F5642" w:rsidRDefault="007F5642" w:rsidP="00A51AF8">
      <w:pPr>
        <w:pStyle w:val="ListParagraph"/>
        <w:ind w:left="410"/>
      </w:pPr>
    </w:p>
    <w:p w14:paraId="1EDF23FC" w14:textId="77777777" w:rsidR="007F5642" w:rsidRDefault="007F5642" w:rsidP="00A51AF8">
      <w:pPr>
        <w:pStyle w:val="ListParagraph"/>
        <w:ind w:left="410"/>
      </w:pPr>
    </w:p>
    <w:p w14:paraId="163AF2A0" w14:textId="77777777" w:rsidR="007F5642" w:rsidRDefault="007F5642" w:rsidP="00A51AF8">
      <w:pPr>
        <w:pStyle w:val="ListParagraph"/>
        <w:ind w:left="410"/>
      </w:pPr>
    </w:p>
    <w:p w14:paraId="6EE04E95" w14:textId="77777777" w:rsidR="007F5642" w:rsidRDefault="007F5642" w:rsidP="00A51AF8">
      <w:pPr>
        <w:pStyle w:val="ListParagraph"/>
        <w:ind w:left="410"/>
      </w:pPr>
    </w:p>
    <w:p w14:paraId="0CBEABCA" w14:textId="77777777" w:rsidR="007F5642" w:rsidRDefault="007F5642" w:rsidP="00A51AF8">
      <w:pPr>
        <w:pStyle w:val="ListParagraph"/>
        <w:ind w:left="410"/>
      </w:pPr>
    </w:p>
    <w:p w14:paraId="33FD9692" w14:textId="77777777" w:rsidR="007F5642" w:rsidRDefault="007F5642" w:rsidP="00A51AF8">
      <w:pPr>
        <w:pStyle w:val="ListParagraph"/>
        <w:ind w:left="410"/>
      </w:pPr>
    </w:p>
    <w:p w14:paraId="11CB06B7" w14:textId="77777777" w:rsidR="007F5642" w:rsidRDefault="007F5642" w:rsidP="00A51AF8">
      <w:pPr>
        <w:pStyle w:val="ListParagraph"/>
        <w:ind w:left="410"/>
      </w:pPr>
    </w:p>
    <w:p w14:paraId="457647AE" w14:textId="77777777" w:rsidR="007F5642" w:rsidRDefault="007F5642" w:rsidP="00A51AF8">
      <w:pPr>
        <w:pStyle w:val="ListParagraph"/>
        <w:ind w:left="410"/>
      </w:pPr>
    </w:p>
    <w:p w14:paraId="16F12225" w14:textId="77777777" w:rsidR="007F5642" w:rsidRDefault="007F5642" w:rsidP="00A51AF8">
      <w:pPr>
        <w:pStyle w:val="ListParagraph"/>
        <w:ind w:left="410"/>
      </w:pPr>
    </w:p>
    <w:p w14:paraId="0E7D9505" w14:textId="77777777" w:rsidR="007F5642" w:rsidRDefault="007F5642" w:rsidP="00A51AF8">
      <w:pPr>
        <w:pStyle w:val="ListParagraph"/>
        <w:ind w:left="410"/>
      </w:pPr>
    </w:p>
    <w:p w14:paraId="30A4F30C" w14:textId="77777777" w:rsidR="007F5642" w:rsidRDefault="007F5642" w:rsidP="00A51AF8">
      <w:pPr>
        <w:pStyle w:val="ListParagraph"/>
        <w:ind w:left="410"/>
      </w:pPr>
    </w:p>
    <w:p w14:paraId="62817FDD" w14:textId="77777777" w:rsidR="007F5642" w:rsidRDefault="007F5642" w:rsidP="00A51AF8">
      <w:pPr>
        <w:pStyle w:val="ListParagraph"/>
        <w:ind w:left="410"/>
      </w:pPr>
    </w:p>
    <w:p w14:paraId="03D30BF8" w14:textId="77777777" w:rsidR="007F5642" w:rsidRDefault="007F5642" w:rsidP="00A51AF8">
      <w:pPr>
        <w:pStyle w:val="ListParagraph"/>
        <w:ind w:left="410"/>
      </w:pPr>
    </w:p>
    <w:p w14:paraId="68A415EA" w14:textId="77777777" w:rsidR="007F5642" w:rsidRDefault="007F5642" w:rsidP="00A51AF8">
      <w:pPr>
        <w:pStyle w:val="ListParagraph"/>
        <w:ind w:left="410"/>
      </w:pPr>
    </w:p>
    <w:p w14:paraId="1394E83E" w14:textId="77777777" w:rsidR="007F5642" w:rsidRDefault="007F5642" w:rsidP="00A51AF8">
      <w:pPr>
        <w:pStyle w:val="ListParagraph"/>
        <w:ind w:left="410"/>
      </w:pPr>
    </w:p>
    <w:p w14:paraId="1F2F25CF" w14:textId="77777777" w:rsidR="007F5642" w:rsidRDefault="007F5642" w:rsidP="00A51AF8">
      <w:pPr>
        <w:pStyle w:val="ListParagraph"/>
        <w:ind w:left="410"/>
      </w:pPr>
    </w:p>
    <w:p w14:paraId="5F934227" w14:textId="77777777" w:rsidR="007F5642" w:rsidRDefault="007F5642" w:rsidP="00A51AF8">
      <w:pPr>
        <w:pStyle w:val="ListParagraph"/>
        <w:ind w:left="410"/>
      </w:pPr>
    </w:p>
    <w:p w14:paraId="392F084B" w14:textId="77777777" w:rsidR="007F5642" w:rsidRDefault="007F5642" w:rsidP="00A51AF8">
      <w:pPr>
        <w:pStyle w:val="ListParagraph"/>
        <w:ind w:left="410"/>
      </w:pPr>
    </w:p>
    <w:p w14:paraId="1CC50407" w14:textId="77777777" w:rsidR="007F5642" w:rsidRDefault="007F5642" w:rsidP="00A51AF8">
      <w:pPr>
        <w:pStyle w:val="ListParagraph"/>
        <w:ind w:left="410"/>
      </w:pPr>
    </w:p>
    <w:p w14:paraId="7FE42323" w14:textId="77777777" w:rsidR="00F50E22" w:rsidRDefault="00F50E22" w:rsidP="00A51AF8">
      <w:pPr>
        <w:pStyle w:val="ListParagraph"/>
        <w:ind w:left="410"/>
      </w:pPr>
    </w:p>
    <w:p w14:paraId="1D315091" w14:textId="77777777" w:rsidR="00F50E22" w:rsidRDefault="00F50E22" w:rsidP="00A51AF8">
      <w:pPr>
        <w:pStyle w:val="ListParagraph"/>
        <w:ind w:left="410"/>
      </w:pPr>
    </w:p>
    <w:p w14:paraId="1B733902" w14:textId="77777777" w:rsidR="00F50E22" w:rsidRDefault="00F50E22" w:rsidP="00A51AF8">
      <w:pPr>
        <w:pStyle w:val="ListParagraph"/>
        <w:ind w:left="410"/>
      </w:pPr>
    </w:p>
    <w:p w14:paraId="2EAD91AD" w14:textId="45ED4D23" w:rsidR="00B20F84" w:rsidRPr="00FE573E" w:rsidRDefault="00071718" w:rsidP="00A51AF8">
      <w:pPr>
        <w:pStyle w:val="ListParagraph"/>
        <w:ind w:left="410"/>
        <w:rPr>
          <w:b/>
          <w:bCs/>
          <w:sz w:val="40"/>
          <w:szCs w:val="40"/>
        </w:rPr>
      </w:pPr>
      <w:r>
        <w:t xml:space="preserve">                                                   </w:t>
      </w:r>
      <w:r w:rsidR="003E04C2" w:rsidRPr="00FE573E">
        <w:rPr>
          <w:b/>
          <w:bCs/>
          <w:sz w:val="40"/>
          <w:szCs w:val="40"/>
        </w:rPr>
        <w:t>CHAPTER 2</w:t>
      </w:r>
    </w:p>
    <w:p w14:paraId="36DBE04B" w14:textId="77E995F2" w:rsidR="003E04C2" w:rsidRPr="00FE573E" w:rsidRDefault="00071718" w:rsidP="00FE573E">
      <w:pPr>
        <w:pStyle w:val="ListParagraph"/>
        <w:ind w:left="410"/>
        <w:rPr>
          <w:b/>
          <w:bCs/>
          <w:sz w:val="40"/>
          <w:szCs w:val="40"/>
        </w:rPr>
      </w:pPr>
      <w:r w:rsidRPr="00FE573E">
        <w:rPr>
          <w:b/>
          <w:bCs/>
          <w:sz w:val="40"/>
          <w:szCs w:val="40"/>
        </w:rPr>
        <w:t xml:space="preserve">                  </w:t>
      </w:r>
      <w:r w:rsidR="003E04C2" w:rsidRPr="00FE573E">
        <w:rPr>
          <w:b/>
          <w:bCs/>
          <w:sz w:val="40"/>
          <w:szCs w:val="40"/>
        </w:rPr>
        <w:t>RE</w:t>
      </w:r>
      <w:r w:rsidRPr="00FE573E">
        <w:rPr>
          <w:b/>
          <w:bCs/>
          <w:sz w:val="40"/>
          <w:szCs w:val="40"/>
        </w:rPr>
        <w:t>VIEW OF LITRATURE</w:t>
      </w:r>
    </w:p>
    <w:p w14:paraId="31910151" w14:textId="77777777" w:rsidR="009F05F8" w:rsidRPr="009C6A88" w:rsidRDefault="009F05F8" w:rsidP="008871AF">
      <w:pPr>
        <w:rPr>
          <w:sz w:val="40"/>
          <w:szCs w:val="40"/>
        </w:rPr>
      </w:pPr>
    </w:p>
    <w:p w14:paraId="44A6DD3E" w14:textId="77777777" w:rsidR="00800247" w:rsidRPr="009C6A88" w:rsidRDefault="00800247" w:rsidP="008871AF">
      <w:pPr>
        <w:rPr>
          <w:sz w:val="40"/>
          <w:szCs w:val="40"/>
        </w:rPr>
      </w:pPr>
    </w:p>
    <w:p w14:paraId="366B1D4E" w14:textId="77777777" w:rsidR="00800247" w:rsidRPr="009C6A88" w:rsidRDefault="00800247" w:rsidP="008871AF">
      <w:pPr>
        <w:rPr>
          <w:sz w:val="40"/>
          <w:szCs w:val="40"/>
        </w:rPr>
      </w:pPr>
    </w:p>
    <w:p w14:paraId="054221F6" w14:textId="77777777" w:rsidR="00800247" w:rsidRPr="009C6A88" w:rsidRDefault="00800247" w:rsidP="008871AF">
      <w:pPr>
        <w:rPr>
          <w:sz w:val="40"/>
          <w:szCs w:val="40"/>
        </w:rPr>
      </w:pPr>
    </w:p>
    <w:p w14:paraId="6F9158AD" w14:textId="77777777" w:rsidR="00800247" w:rsidRDefault="00800247" w:rsidP="008871AF">
      <w:pPr>
        <w:rPr>
          <w:sz w:val="40"/>
          <w:szCs w:val="40"/>
        </w:rPr>
      </w:pPr>
    </w:p>
    <w:p w14:paraId="273E3FDC" w14:textId="77777777" w:rsidR="00FE573E" w:rsidRDefault="00FE573E" w:rsidP="008871AF">
      <w:pPr>
        <w:rPr>
          <w:sz w:val="40"/>
          <w:szCs w:val="40"/>
        </w:rPr>
      </w:pPr>
    </w:p>
    <w:p w14:paraId="4CC20920" w14:textId="77777777" w:rsidR="00800247" w:rsidRDefault="00800247" w:rsidP="008871AF"/>
    <w:p w14:paraId="41A82DD4" w14:textId="2C2D3DE1" w:rsidR="00800247" w:rsidRDefault="007F5AD7" w:rsidP="008871AF">
      <w:r>
        <w:t xml:space="preserve"> </w:t>
      </w:r>
    </w:p>
    <w:p w14:paraId="61946FD1" w14:textId="77777777" w:rsidR="00800247" w:rsidRDefault="00800247" w:rsidP="008871AF"/>
    <w:p w14:paraId="108B4F0C" w14:textId="77777777" w:rsidR="00800247" w:rsidRDefault="00800247" w:rsidP="008871AF"/>
    <w:p w14:paraId="5D6F53E1" w14:textId="03DD7868" w:rsidR="00800247" w:rsidRDefault="0034110D" w:rsidP="00977E8F">
      <w:pPr>
        <w:rPr>
          <w:b/>
          <w:bCs/>
        </w:rPr>
      </w:pPr>
      <w:r>
        <w:rPr>
          <w:b/>
          <w:bCs/>
        </w:rPr>
        <w:t>REVIEW OF LIT</w:t>
      </w:r>
      <w:r w:rsidR="00247FC1">
        <w:rPr>
          <w:b/>
          <w:bCs/>
        </w:rPr>
        <w:t>ERATURE</w:t>
      </w:r>
    </w:p>
    <w:p w14:paraId="04E40057" w14:textId="77777777" w:rsidR="00F50E22" w:rsidRPr="00992B1F" w:rsidRDefault="00F50E22" w:rsidP="00977E8F">
      <w:pPr>
        <w:rPr>
          <w:b/>
          <w:bCs/>
        </w:rPr>
      </w:pPr>
    </w:p>
    <w:p w14:paraId="16AD3E07" w14:textId="77777777" w:rsidR="00247FC1" w:rsidRDefault="00A9036C" w:rsidP="00977E8F">
      <w:r>
        <w:t>A li</w:t>
      </w:r>
      <w:r w:rsidR="00D7112A">
        <w:t>terature review is a summary of previously written</w:t>
      </w:r>
      <w:r w:rsidR="00FA4DF1">
        <w:t xml:space="preserve"> work on a subject. The term might refer </w:t>
      </w:r>
      <w:r w:rsidR="00EA527C">
        <w:t xml:space="preserve">to an entire academic document </w:t>
      </w:r>
      <w:r w:rsidR="00600873">
        <w:t xml:space="preserve"> or a single </w:t>
      </w:r>
      <w:r w:rsidR="009A7C18">
        <w:t xml:space="preserve"> piece of academic work ,such </w:t>
      </w:r>
      <w:r w:rsidR="000B659F">
        <w:t>as a book or essay.</w:t>
      </w:r>
    </w:p>
    <w:p w14:paraId="44EAA39E" w14:textId="243E469B" w:rsidR="00A9036C" w:rsidRDefault="000B659F" w:rsidP="00977E8F">
      <w:r>
        <w:t xml:space="preserve">In any </w:t>
      </w:r>
      <w:r w:rsidR="002565BD">
        <w:t>scenario,</w:t>
      </w:r>
      <w:r w:rsidR="006C4415">
        <w:t xml:space="preserve"> </w:t>
      </w:r>
      <w:r w:rsidR="002565BD">
        <w:t>the purpose</w:t>
      </w:r>
      <w:r w:rsidR="006C4415">
        <w:t xml:space="preserve"> of a literature review </w:t>
      </w:r>
      <w:r w:rsidR="00A8550C">
        <w:t>is to provide the researcher /au</w:t>
      </w:r>
      <w:r w:rsidR="006251AF">
        <w:t>thor and the audience with a comprehensive overview of the</w:t>
      </w:r>
      <w:r w:rsidR="00BE10FC">
        <w:t xml:space="preserve"> existing body of knowl</w:t>
      </w:r>
      <w:r w:rsidR="001E1B48">
        <w:t>edge on the issue at hand .</w:t>
      </w:r>
      <w:r w:rsidR="0000283D">
        <w:t xml:space="preserve"> A though </w:t>
      </w:r>
      <w:r w:rsidR="005278E6">
        <w:t>literature assessment can help vali</w:t>
      </w:r>
      <w:r w:rsidR="00C45329">
        <w:t>date a su</w:t>
      </w:r>
      <w:r w:rsidR="00542E9E">
        <w:t>i</w:t>
      </w:r>
      <w:r w:rsidR="00C45329">
        <w:t>table research topic</w:t>
      </w:r>
      <w:r w:rsidR="00773E13">
        <w:t>,</w:t>
      </w:r>
      <w:r w:rsidR="00247FC1">
        <w:t xml:space="preserve"> </w:t>
      </w:r>
      <w:r w:rsidR="00773E13">
        <w:t>theoretical framework,</w:t>
      </w:r>
      <w:r w:rsidR="001A0DA0">
        <w:t xml:space="preserve"> </w:t>
      </w:r>
      <w:r w:rsidR="00773E13">
        <w:t>and</w:t>
      </w:r>
      <w:r w:rsidR="00EE4B86">
        <w:t xml:space="preserve">/or study approach . A literature </w:t>
      </w:r>
      <w:r w:rsidR="00B95E44">
        <w:t xml:space="preserve">review in </w:t>
      </w:r>
      <w:proofErr w:type="gramStart"/>
      <w:r w:rsidR="00B95E44">
        <w:t xml:space="preserve">particular </w:t>
      </w:r>
      <w:r w:rsidR="00A109CC">
        <w:t xml:space="preserve"> serves</w:t>
      </w:r>
      <w:proofErr w:type="gramEnd"/>
      <w:r w:rsidR="00A109CC">
        <w:t xml:space="preserve"> to s</w:t>
      </w:r>
      <w:r w:rsidR="00004A25">
        <w:t xml:space="preserve">ituate the present work within the body of relevant literature </w:t>
      </w:r>
      <w:r w:rsidR="0073708A">
        <w:t>and provides context of the reader.</w:t>
      </w:r>
    </w:p>
    <w:p w14:paraId="2286F30B" w14:textId="77777777" w:rsidR="0019657F" w:rsidRDefault="0019657F" w:rsidP="00977E8F"/>
    <w:p w14:paraId="25C2D342" w14:textId="2E5680C9" w:rsidR="0019657F" w:rsidRDefault="001378D2" w:rsidP="00977E8F">
      <w:pPr>
        <w:rPr>
          <w:b/>
          <w:bCs/>
        </w:rPr>
      </w:pPr>
      <w:r>
        <w:rPr>
          <w:b/>
          <w:bCs/>
        </w:rPr>
        <w:t xml:space="preserve">                                                    </w:t>
      </w:r>
      <w:r w:rsidR="00B06064" w:rsidRPr="001378D2">
        <w:rPr>
          <w:b/>
          <w:bCs/>
        </w:rPr>
        <w:t>Gender Competencies</w:t>
      </w:r>
    </w:p>
    <w:p w14:paraId="38C1553A" w14:textId="77777777" w:rsidR="001378D2" w:rsidRPr="001378D2" w:rsidRDefault="001378D2" w:rsidP="00977E8F">
      <w:pPr>
        <w:rPr>
          <w:b/>
          <w:bCs/>
        </w:rPr>
      </w:pPr>
    </w:p>
    <w:p w14:paraId="1BE26E7C" w14:textId="6E1821F0" w:rsidR="00F521D8" w:rsidRDefault="00F521D8" w:rsidP="00977E8F">
      <w:pPr>
        <w:rPr>
          <w:b/>
          <w:bCs/>
        </w:rPr>
      </w:pPr>
      <w:r w:rsidRPr="00F521D8">
        <w:rPr>
          <w:b/>
          <w:bCs/>
        </w:rPr>
        <w:t>Gender Equality in EU Development Partnerships </w:t>
      </w:r>
    </w:p>
    <w:p w14:paraId="67E522D7" w14:textId="77777777" w:rsidR="00FE573E" w:rsidRPr="00F521D8" w:rsidRDefault="00FE573E" w:rsidP="00977E8F">
      <w:pPr>
        <w:rPr>
          <w:b/>
          <w:bCs/>
        </w:rPr>
      </w:pPr>
    </w:p>
    <w:p w14:paraId="58B55E11" w14:textId="51FD40DA" w:rsidR="00F521D8" w:rsidRPr="00F521D8" w:rsidRDefault="00A9293A" w:rsidP="00977E8F">
      <w:r>
        <w:t xml:space="preserve">                                                           </w:t>
      </w:r>
      <w:r w:rsidR="00F521D8" w:rsidRPr="00F521D8">
        <w:t>Gender equality has emerged as a foundational pillar in global development discourse, especially within the context of partnerships between the European Union (EU) and developing countries. Almasa Zubović (2014) articulates a comprehensive overview of how the EU integrates gender perspectives into its development cooperation strategies. She highlights that gender inequality and poverty are intricately linked, with women representing approximately 70% of the global poor. This disproportionate burden necessitates targeted interventions that address not only economic disparities but also structural denial of women’s rights.</w:t>
      </w:r>
    </w:p>
    <w:p w14:paraId="701D0ACA" w14:textId="77777777" w:rsidR="00B72B78" w:rsidRDefault="00B72B78" w:rsidP="00977E8F"/>
    <w:p w14:paraId="6911B60D" w14:textId="14C1F692" w:rsidR="00F521D8" w:rsidRPr="00F521D8" w:rsidRDefault="00F521D8" w:rsidP="00977E8F">
      <w:r w:rsidRPr="00F521D8">
        <w:t>Zubović outlines the EU’s threefold approach to gender mainstreaming: (1) integration of gender analysis into all key development sectors such as health, education, rural development, trade, and governance; (2) strengthening institutional and regional frameworks for gender equality through partnerships with national governments and civil societies; and (3) building internal EU capacities through training, resource development, and policy coherence. Notably, the EU has incorporated gender considerations into policy tools such as the Cotonou Agreement and MEDA/ALA regulations, advocating for gender-sensitive budgeting and indicators across program cycles.</w:t>
      </w:r>
    </w:p>
    <w:p w14:paraId="67820994" w14:textId="77777777" w:rsidR="00F521D8" w:rsidRPr="00F521D8" w:rsidRDefault="00F521D8" w:rsidP="00977E8F"/>
    <w:p w14:paraId="2C5146AC" w14:textId="19F6566B" w:rsidR="00F521D8" w:rsidRPr="00F521D8" w:rsidRDefault="00F521D8" w:rsidP="00977E8F">
      <w:r w:rsidRPr="00F521D8">
        <w:lastRenderedPageBreak/>
        <w:t>The literature underscores the importance of political will and institutional mechanisms. For example, countries like Kerala and Sri Lanka demonstrate how gender-sensitive educational policies yield significant development gains, while sub-Saharan nations lacking such policies face growth setbacks. Zubović also stresses that gender equality must not be viewed in isolation but within broader frameworks of social justice and sustainable development.</w:t>
      </w:r>
    </w:p>
    <w:p w14:paraId="6701B160" w14:textId="77777777" w:rsidR="00A9293A" w:rsidRDefault="00F521D8" w:rsidP="00977E8F">
      <w:r w:rsidRPr="00F521D8">
        <w:t>Overall, the reviewed work reaffirms that gender equality is not only a moral imperative but a strategic tool for achieving inclusive development. It calls for systematic, context-specific, and results-oriented integration of gender dimensions at all levels of development cooperation.</w:t>
      </w:r>
    </w:p>
    <w:p w14:paraId="3CE7ACB0" w14:textId="33583C10" w:rsidR="00F521D8" w:rsidRPr="00F521D8" w:rsidRDefault="00F521D8" w:rsidP="00977E8F"/>
    <w:p w14:paraId="79D6AF91" w14:textId="44CFEEDD" w:rsidR="00F521D8" w:rsidRPr="00F521D8" w:rsidRDefault="00F521D8" w:rsidP="00977E8F">
      <w:r w:rsidRPr="00F521D8">
        <w:t>The literature emphasizes the right to education as a core human right, intricately tied to sustainable development and global justice. Voicu and Voicu (2019) analyze UNESCO’s *Right to Education Handbook* and underline its legal, normative, and policy-based foundations in international law, especially in connection to SDG 4 of the 2030 Agenda. They argue that education must be inclusive, equitable, and accessible, reinforced by legal commitments from states and supported by monitoring, accountability mechanisms, and non-state actors. The article also highlights Romania’s historical diplomatic role in promoting global education rights at the UN, stressing that domestic and international efforts must converge to realize education as both a legal obligation and a societal good. Overall, the review portrays education not merely as access to learning, but as a dynamic right shaping equality, peace, and development.</w:t>
      </w:r>
    </w:p>
    <w:p w14:paraId="3C1A4616" w14:textId="77777777" w:rsidR="00F521D8" w:rsidRPr="00F521D8" w:rsidRDefault="00F521D8" w:rsidP="00977E8F"/>
    <w:p w14:paraId="56FF8FEF" w14:textId="727BADB6" w:rsidR="00F521D8" w:rsidRPr="00F521D8" w:rsidRDefault="00F521D8" w:rsidP="00977E8F">
      <w:r w:rsidRPr="00F521D8">
        <w:t>The literature highlights that while Romania has formally aligned with key international frameworks promoting gender equality—such as the Beijing Declaration, the 2030 Agenda for Sustainable Development, and the Istanbul Convention</w:t>
      </w:r>
      <w:r w:rsidR="001378D2">
        <w:t xml:space="preserve"> </w:t>
      </w:r>
      <w:r w:rsidRPr="00F521D8">
        <w:t xml:space="preserve">implementation remains fragmented and inconsistent. </w:t>
      </w:r>
      <w:proofErr w:type="spellStart"/>
      <w:r w:rsidRPr="00F521D8">
        <w:t>Horobeanu</w:t>
      </w:r>
      <w:proofErr w:type="spellEnd"/>
      <w:r w:rsidRPr="00F521D8">
        <w:t xml:space="preserve"> et al. (2023) argue that despite a strong legal foundation and policy initiatives, significant gaps persist between Romania's commitments and the realities on the ground, especially in education and the prevention of gender-based violence. The study reveals that entrenched gender stereotypes, insufficient funding, poor data collection, and lack of comprehensive curricular reform hinder progress. Additionally, while women are overrepresented in the education sector, leadership remains male-dominated, and gender-sensitive education is minimal or symbolic. This </w:t>
      </w:r>
      <w:proofErr w:type="gramStart"/>
      <w:r w:rsidRPr="00F521D8">
        <w:t>disconnect</w:t>
      </w:r>
      <w:proofErr w:type="gramEnd"/>
      <w:r w:rsidRPr="00F521D8">
        <w:t xml:space="preserve"> between policy and practice underscores the need for targeted institutional reform, robust monitoring mechanisms, and a culturally grounded yet rights-based approach to translating gender equality from paper to practice.</w:t>
      </w:r>
    </w:p>
    <w:p w14:paraId="63415DCC" w14:textId="5B051243" w:rsidR="00F521D8" w:rsidRPr="00F521D8" w:rsidRDefault="00F521D8" w:rsidP="00977E8F"/>
    <w:p w14:paraId="5DB83C37" w14:textId="77777777" w:rsidR="00F521D8" w:rsidRPr="00F521D8" w:rsidRDefault="00F521D8" w:rsidP="00977E8F">
      <w:r w:rsidRPr="00F521D8">
        <w:lastRenderedPageBreak/>
        <w:t xml:space="preserve">The literature on gender equality reflects evolving theoretical frameworks and policy strategies, particularly within the European context. Cristina Rădoi (2012) outlines three key approaches to gender equality: equal treatment (liberal feminism), affirmative action (radical feminism), and gender mainstreaming (transformative/postmodern feminism). The equal treatment model focuses on legal access and </w:t>
      </w:r>
      <w:proofErr w:type="spellStart"/>
      <w:r w:rsidRPr="00F521D8">
        <w:t>nondiscrimination</w:t>
      </w:r>
      <w:proofErr w:type="spellEnd"/>
      <w:r w:rsidRPr="00F521D8">
        <w:t xml:space="preserve"> but often fails to address deeper structural inequalities rooted in patriarchal norms. Affirmative action, while attempting to redress disparities through targeted support, is limited by its reliance on existing meritocratic frameworks. The most comprehensive approach, gender mainstreaming, seeks to integrate gender perspectives into all policies and institutional processes, yet faces criticism for its soft implementation and lack of robust monitoring mechanisms. Scholars such as Verloo, Rees, and Walby emphasize that a singular strategy is insufficient, advocating instead for the simultaneous application of all three approaches to truly dismantle embedded gender hierarchies and promote substantive equality in political, social, and economic spheres.</w:t>
      </w:r>
    </w:p>
    <w:p w14:paraId="7FEAF367" w14:textId="29A54C16" w:rsidR="00F521D8" w:rsidRPr="00F521D8" w:rsidRDefault="00F521D8" w:rsidP="00977E8F"/>
    <w:p w14:paraId="23DCA8B2" w14:textId="38CDB291" w:rsidR="00F521D8" w:rsidRDefault="00F521D8" w:rsidP="00977E8F">
      <w:r w:rsidRPr="00F521D8">
        <w:t xml:space="preserve">The literature compiled in </w:t>
      </w:r>
      <w:proofErr w:type="spellStart"/>
      <w:r w:rsidRPr="00F521D8">
        <w:t>Perspektive</w:t>
      </w:r>
      <w:proofErr w:type="spellEnd"/>
      <w:r w:rsidRPr="00F521D8">
        <w:t xml:space="preserve"> </w:t>
      </w:r>
      <w:proofErr w:type="spellStart"/>
      <w:r w:rsidRPr="00F521D8">
        <w:t>političkih</w:t>
      </w:r>
      <w:proofErr w:type="spellEnd"/>
      <w:r w:rsidRPr="00F521D8">
        <w:t xml:space="preserve"> </w:t>
      </w:r>
      <w:proofErr w:type="spellStart"/>
      <w:r w:rsidRPr="00F521D8">
        <w:t>nauka</w:t>
      </w:r>
      <w:proofErr w:type="spellEnd"/>
      <w:r w:rsidRPr="00F521D8">
        <w:t xml:space="preserve"> u </w:t>
      </w:r>
      <w:proofErr w:type="spellStart"/>
      <w:r w:rsidRPr="00F521D8">
        <w:t>savremenom</w:t>
      </w:r>
      <w:proofErr w:type="spellEnd"/>
      <w:r w:rsidRPr="00F521D8">
        <w:t xml:space="preserve"> </w:t>
      </w:r>
      <w:proofErr w:type="spellStart"/>
      <w:r w:rsidRPr="00F521D8">
        <w:t>društvu</w:t>
      </w:r>
      <w:proofErr w:type="spellEnd"/>
      <w:r w:rsidRPr="00F521D8">
        <w:t xml:space="preserve"> II presents a multidisciplinary exploration of political science in the face of contemporary global challenges. Matijević and </w:t>
      </w:r>
      <w:proofErr w:type="spellStart"/>
      <w:r w:rsidRPr="00F521D8">
        <w:t>Spasojević</w:t>
      </w:r>
      <w:proofErr w:type="spellEnd"/>
      <w:r w:rsidRPr="00F521D8">
        <w:t xml:space="preserve"> emphasize the growing importance of interdisciplinarity, particularly in addressing issues like democratic backsliding, globalization, digitalization, and geopolitical instability. They argue that political science must evolve from traditional theoretical frameworks to include empirically grounded research that responds to real-world complexities such as populism, weakened democratic institutions, and the influence of technology on governance. The volume also explores how global events—including economic crises, the COVID-19 pandemic, and regional conflicts—shape political thought and necessitate dynamic academic engagement. Overall, the collection stresses that political science, while often critiqued for lacking precision, retains critical value in interpreting and responding to the shifting socio-political landscape of the 21st century.</w:t>
      </w:r>
    </w:p>
    <w:p w14:paraId="5E1FCDC7" w14:textId="77777777" w:rsidR="0065737C" w:rsidRPr="00F521D8" w:rsidRDefault="0065737C" w:rsidP="00977E8F"/>
    <w:p w14:paraId="486206D2" w14:textId="5FAA35D3" w:rsidR="00F521D8" w:rsidRDefault="00F521D8" w:rsidP="00977E8F">
      <w:r w:rsidRPr="00F521D8">
        <w:t xml:space="preserve">The literature highlights that gender equality in science, while supported by international and national legal frameworks, remains inadequately implemented in practice. </w:t>
      </w:r>
      <w:proofErr w:type="spellStart"/>
      <w:r w:rsidRPr="00F521D8">
        <w:t>Pajvančić</w:t>
      </w:r>
      <w:proofErr w:type="spellEnd"/>
      <w:r w:rsidRPr="00F521D8">
        <w:t xml:space="preserve"> (2020) explores how constitutional provisions, international conventions like CEDAW, and European research policies advocate for equal opportunities, special measures, and gender-sensitive budgeting to promote women’s participation in science. However, in Serbia, these principles often exist only in strategic documents and lack operationalization in laws and institutional practices. Despite commitments through strategies such as Horizon 2020 and national action </w:t>
      </w:r>
      <w:r w:rsidRPr="00F521D8">
        <w:lastRenderedPageBreak/>
        <w:t>plans, measures like quotas, gender mainstreaming in research content, and support for women's scientific careers are inconsistently applied. The gap between legal proclamations and their execution underscores the need for harmonized policy enforcement, gender-disaggregated data, and concrete institutional reforms to bridge systemic inequalities in science and research.</w:t>
      </w:r>
    </w:p>
    <w:p w14:paraId="6591004C" w14:textId="77777777" w:rsidR="0065737C" w:rsidRPr="00F521D8" w:rsidRDefault="0065737C" w:rsidP="00977E8F"/>
    <w:p w14:paraId="6937EF12" w14:textId="7BF272AF" w:rsidR="00E52A6E" w:rsidRDefault="00F521D8" w:rsidP="00977E8F">
      <w:r w:rsidRPr="00F521D8">
        <w:t xml:space="preserve">The literature on gender equality in Ukraine, as presented by Tamara </w:t>
      </w:r>
      <w:proofErr w:type="spellStart"/>
      <w:r w:rsidRPr="00F521D8">
        <w:t>Martsenyuk</w:t>
      </w:r>
      <w:proofErr w:type="spellEnd"/>
      <w:r w:rsidRPr="00F521D8">
        <w:t xml:space="preserve">, illustrates a dynamic interplay between top-down legal reforms and bottom-up feminist activism. Since independence, Ukraine has made notable strides by adopting legal frameworks like the 2005 Law on Equal Rights and ratifying international agreements such as CEDAW and the Istanbul Convention. These efforts are complemented by grassroots initiatives, feminist movements, and cultural interventions that challenge gender stereotypes and advocate for women’s rights across public spheres including politics, education, military, and media. Historical and contemporary feminist voices—from Natalia </w:t>
      </w:r>
      <w:proofErr w:type="spellStart"/>
      <w:r w:rsidRPr="00F521D8">
        <w:t>Kobrynska</w:t>
      </w:r>
      <w:proofErr w:type="spellEnd"/>
      <w:r w:rsidRPr="00F521D8">
        <w:t xml:space="preserve"> to modern campaigns like #IAmNotAfraidToSayIt and the “Invisible Battalion”—have contributed to a growing discourse on gender justice. However, structural inequalities persist, especially under the strain of the ongoing war, which has exacerbated gender-based vulnerabilities. </w:t>
      </w:r>
      <w:proofErr w:type="spellStart"/>
      <w:r w:rsidRPr="00F521D8">
        <w:t>Martsenyuk’s</w:t>
      </w:r>
      <w:proofErr w:type="spellEnd"/>
      <w:r w:rsidRPr="00F521D8">
        <w:t xml:space="preserve"> work emphasizes the need for sustained policy enforcement, inclusive representation, and robust civil society engagement to bridge the gap between legal equality and lived experience</w:t>
      </w:r>
    </w:p>
    <w:p w14:paraId="267041A5" w14:textId="77777777" w:rsidR="00792195" w:rsidRDefault="00792195" w:rsidP="00977E8F"/>
    <w:p w14:paraId="22BC5ABC" w14:textId="77777777" w:rsidR="00E52A6E" w:rsidRPr="00E52A6E" w:rsidRDefault="00E52A6E" w:rsidP="00977E8F">
      <w:pPr>
        <w:rPr>
          <w:b/>
          <w:bCs/>
        </w:rPr>
      </w:pPr>
      <w:r w:rsidRPr="00E52A6E">
        <w:rPr>
          <w:b/>
          <w:bCs/>
        </w:rPr>
        <w:t>Perception of Gender-Based Violence (GBV)</w:t>
      </w:r>
    </w:p>
    <w:p w14:paraId="2EF19DD6" w14:textId="0E81ADC3" w:rsidR="00E52A6E" w:rsidRPr="00E52A6E" w:rsidRDefault="00E52A6E" w:rsidP="00977E8F"/>
    <w:p w14:paraId="0640F5C9" w14:textId="77777777" w:rsidR="00E52A6E" w:rsidRPr="00E52A6E" w:rsidRDefault="00E52A6E" w:rsidP="00977E8F">
      <w:r w:rsidRPr="00E52A6E">
        <w:t xml:space="preserve">The literature on gender-based violence (GBV) in South Africa consistently identifies it as a pervasive societal issue deeply rooted in patriarchy, economic inequality, and entrenched cultural norms. Mahlori et al. (2018) emphasize that while GBV affects all social groups, its occurrence within university settings—such as the University of South Africa (Unisa)—has received comparatively little scholarly attention. Their pilot study reveals that educated and employed individuals are not immune to GBV, with both staff and students experiencing forms of abuse including physical, emotional, financial, and sexual violence. The study supports existing literature that links poverty, unemployment, and shifting gender roles to increased risk of GBV, particularly where male identity and power are threatened. Moreover, despite growing awareness and discourse around GBV, underreporting remains a major barrier due to stigma, fear of retaliation, and institutional silence. This underscores the need for more </w:t>
      </w:r>
      <w:r w:rsidRPr="00E52A6E">
        <w:lastRenderedPageBreak/>
        <w:t>inclusive and proactive university policies, broader community engagement, and sustained research to understand and combat GBV in higher education contexts.</w:t>
      </w:r>
    </w:p>
    <w:p w14:paraId="0521C7BC" w14:textId="26EBE0FB" w:rsidR="00E52A6E" w:rsidRPr="00E52A6E" w:rsidRDefault="00E52A6E" w:rsidP="00977E8F"/>
    <w:p w14:paraId="7BF8351C" w14:textId="77777777" w:rsidR="00E52A6E" w:rsidRPr="00E52A6E" w:rsidRDefault="00E52A6E" w:rsidP="00977E8F">
      <w:r w:rsidRPr="00E52A6E">
        <w:t>The literature on gender-based violence (GBV) highlights its complex and multidimensional nature, particularly within educational institutions in South Africa. Research by Mahlori et al. (2018) reveals that GBV persists even among educated university staff, challenging assumptions that higher socioeconomic or educational status reduces vulnerability. Rooted in patriarchal norms, economic inequality, and cultural justifications, GBV manifests in physical, emotional, sexual, and financial abuse. Despite existing legislation and awareness campaigns, underreporting remains a significant challenge due to fear, stigma, and institutional inaction. The study further emphasizes the normalization of violence in both public and private spheres, including marital contexts, where coercive control and marital rape are often overlooked. University environments, traditionally considered safe spaces, are shown to reflect broader societal gender dynamics, with staff and students experiencing threats to their psychological and physical well-being. This underscores the need for integrated prevention strategies, institutional accountability, and continued research to inform effective, context-specific interventions.</w:t>
      </w:r>
    </w:p>
    <w:p w14:paraId="7C1A6DC0" w14:textId="6F20435C" w:rsidR="00E52A6E" w:rsidRPr="00E52A6E" w:rsidRDefault="00E52A6E" w:rsidP="00977E8F"/>
    <w:p w14:paraId="4EC846F5" w14:textId="27ED1C1D" w:rsidR="006F1C7E" w:rsidRDefault="00E52A6E" w:rsidP="00977E8F">
      <w:r w:rsidRPr="00E52A6E">
        <w:t xml:space="preserve">The literature on gender-based violence (GBV) research highlights significant ethical considerations when involving human participants, particularly in sensitive community contexts. </w:t>
      </w:r>
      <w:proofErr w:type="spellStart"/>
      <w:r w:rsidRPr="00E52A6E">
        <w:t>Sikweyiya’s</w:t>
      </w:r>
      <w:proofErr w:type="spellEnd"/>
      <w:r w:rsidRPr="00E52A6E">
        <w:t xml:space="preserve"> dissertation (2013) critically explores the perceptions of both researchers and participants on the risks, benefits, and ethical challenges inherent in GBV studies in South Africa. It underscores that while GBV research is often considered high-risk, especially for women, empirical evidence suggests that with adherence to ethical guidelines—like those from the WHO—emotional harm is typically minimal and transient. Participants' motivations for involvement often oscillate between altruism and personal benefit, such as accessing health services or financial incentives. Nevertheless, confidentiality breaches and fear of social repercussions remain primary concerns, especially among women who fear retaliation from partners. The study calls for more nuanced, context-sensitive ethical protocols, emphasizing the need to balance research benefits with participant protection and highlighting the importance of incorporating participant voices into ethics review processes.</w:t>
      </w:r>
    </w:p>
    <w:p w14:paraId="7B847740" w14:textId="77777777" w:rsidR="0065737C" w:rsidRDefault="0065737C" w:rsidP="00977E8F"/>
    <w:p w14:paraId="2C4EB512" w14:textId="5624FC02" w:rsidR="006F1C7E" w:rsidRDefault="006F1C7E" w:rsidP="00977E8F">
      <w:pPr>
        <w:rPr>
          <w:b/>
          <w:bCs/>
        </w:rPr>
      </w:pPr>
      <w:r w:rsidRPr="006F1C7E">
        <w:rPr>
          <w:b/>
          <w:bCs/>
        </w:rPr>
        <w:t>Training and Institutional Support</w:t>
      </w:r>
    </w:p>
    <w:p w14:paraId="5A6EB6C5" w14:textId="77777777" w:rsidR="0065737C" w:rsidRPr="006F1C7E" w:rsidRDefault="0065737C" w:rsidP="00977E8F">
      <w:pPr>
        <w:rPr>
          <w:b/>
          <w:bCs/>
        </w:rPr>
      </w:pPr>
    </w:p>
    <w:p w14:paraId="05F045D1" w14:textId="44A3E691" w:rsidR="006F1C7E" w:rsidRDefault="006F1C7E" w:rsidP="00977E8F">
      <w:r w:rsidRPr="006F1C7E">
        <w:lastRenderedPageBreak/>
        <w:t xml:space="preserve">The literature underscores significant gaps in both knowledge and implementation of gender-based violence (GBV) response protocols among frontline professionals, especially in conflict-affected and under-resourced settings. Olson et al. (2022) demonstrate that multisectoral, trauma-informed medicolegal trainings in the Democratic Republic of Congo significantly improved participants’ knowledge and coordination across health, legal, and law enforcement sectors, while also enhancing survivor-centered care and forensic evidence quality. However, despite such gains, broader research by </w:t>
      </w:r>
      <w:proofErr w:type="spellStart"/>
      <w:r w:rsidRPr="006F1C7E">
        <w:t>Mtaita</w:t>
      </w:r>
      <w:proofErr w:type="spellEnd"/>
      <w:r w:rsidRPr="006F1C7E">
        <w:t xml:space="preserve"> et al. (2023) in a different context reveals that although most health care workers are generally aware of GBV, their understanding and application of formal management guidelines remain poor. Only a third found existing protocols practical for clinical use, </w:t>
      </w:r>
      <w:proofErr w:type="spellStart"/>
      <w:r w:rsidRPr="006F1C7E">
        <w:t>signaling</w:t>
      </w:r>
      <w:proofErr w:type="spellEnd"/>
      <w:r w:rsidRPr="006F1C7E">
        <w:t xml:space="preserve"> a disconnect between knowledge and real-world applicability. Both studies collectively highlight the critical need for continuous, context-sensitive training, embedded mentorship, and systemic support to ensure effective, survivor-focused GBV interventions.</w:t>
      </w:r>
    </w:p>
    <w:p w14:paraId="165A0852" w14:textId="77777777" w:rsidR="0065737C" w:rsidRPr="006F1C7E" w:rsidRDefault="0065737C" w:rsidP="00977E8F"/>
    <w:p w14:paraId="6DB319EC" w14:textId="77777777" w:rsidR="006F1C7E" w:rsidRPr="006F1C7E" w:rsidRDefault="006F1C7E" w:rsidP="00977E8F">
      <w:r w:rsidRPr="006F1C7E">
        <w:t>A literature review on the impact of grading systems on higher education eligibility reveals diverse perspectives. Studies such as those by Brookhart (2009) emphasize the role of grades in motivating students and predicting academic success, while others critique their subjectivity and potential to limit holistic learning (Sadler, 2009). Research in the Indian context, including work by Agarwal (2015), highlights how regional boards like Kerala's Higher Secondary Examination use grades to standardize eligibility for higher studies, though disparities in grading rigor across subjects persist. The debate continues over whether grades truly reflect competency or merely institutional benchmarks, with calls for reforms to align grading with broader educational outcomes (Reddy, 2018). This review underscores the need for balanced evaluation systems that ensure fairness while fostering student growth. </w:t>
      </w:r>
    </w:p>
    <w:p w14:paraId="0AF65904" w14:textId="26F2AA9D" w:rsidR="006F1C7E" w:rsidRPr="006F1C7E" w:rsidRDefault="006F1C7E" w:rsidP="00977E8F"/>
    <w:p w14:paraId="27C19FAF" w14:textId="77777777" w:rsidR="006F1C7E" w:rsidRPr="006F1C7E" w:rsidRDefault="006F1C7E" w:rsidP="00977E8F">
      <w:r w:rsidRPr="006F1C7E">
        <w:t xml:space="preserve">A literature review on grading systems in secondary education highlights their role in assessing student performance and determining academic progression. Research by </w:t>
      </w:r>
      <w:proofErr w:type="spellStart"/>
      <w:r w:rsidRPr="006F1C7E">
        <w:t>Guskey</w:t>
      </w:r>
      <w:proofErr w:type="spellEnd"/>
      <w:r w:rsidRPr="006F1C7E">
        <w:t xml:space="preserve"> (2015) emphasizes that grades serve as critical indicators of achievement but can vary significantly in interpretation across regions and subjects, as seen in Kerala's SSLC grading system. Studies such as those by Reddy (2017) argue that while grades like A+ or D+ provide a standardized measure, they may not fully capture student potential or learning gaps, particularly in STEM subjects where performance often dips. Critics like Kohn (2011) contend that over-reliance on grades can stifle creativity and intrinsic motivation, a concern echoed in cases where marginal grades (e.g., D+) limit higher education opportunities. Conversely, proponents assert that </w:t>
      </w:r>
      <w:r w:rsidRPr="006F1C7E">
        <w:lastRenderedPageBreak/>
        <w:t>structured grading frameworks, like Kerala's, ensure accountability and transparency (Agarwal, 2019). The ongoing debate underscores the need for balanced assessment models that combine grades with qualitative evaluations to support holistic development.  </w:t>
      </w:r>
    </w:p>
    <w:p w14:paraId="0BBAFE06" w14:textId="18396D30" w:rsidR="006F1C7E" w:rsidRPr="006F1C7E" w:rsidRDefault="006F1C7E" w:rsidP="00977E8F"/>
    <w:p w14:paraId="1FAFEF2B" w14:textId="16EB9AA4" w:rsidR="006F1C7E" w:rsidRDefault="006F1C7E" w:rsidP="00977E8F">
      <w:pPr>
        <w:rPr>
          <w:b/>
          <w:bCs/>
        </w:rPr>
      </w:pPr>
      <w:r w:rsidRPr="006F1C7E">
        <w:rPr>
          <w:b/>
          <w:bCs/>
        </w:rPr>
        <w:t>Sociodemographic Characteristics</w:t>
      </w:r>
    </w:p>
    <w:p w14:paraId="26DC1D20" w14:textId="77777777" w:rsidR="0065737C" w:rsidRPr="006F1C7E" w:rsidRDefault="0065737C" w:rsidP="00977E8F">
      <w:pPr>
        <w:rPr>
          <w:b/>
          <w:bCs/>
        </w:rPr>
      </w:pPr>
    </w:p>
    <w:p w14:paraId="3B7706EF" w14:textId="77777777" w:rsidR="006F1C7E" w:rsidRPr="006F1C7E" w:rsidRDefault="006F1C7E" w:rsidP="00977E8F">
      <w:r w:rsidRPr="006F1C7E">
        <w:t xml:space="preserve">A literature review on grading systems in secondary education highlights their role in assessing student performance and determining academic progression. Research by </w:t>
      </w:r>
      <w:proofErr w:type="spellStart"/>
      <w:r w:rsidRPr="006F1C7E">
        <w:t>Guskey</w:t>
      </w:r>
      <w:proofErr w:type="spellEnd"/>
      <w:r w:rsidRPr="006F1C7E">
        <w:t xml:space="preserve"> (2015) emphasizes that grades serve as critical indicators of achievement but can vary significantly in interpretation across regions and subjects, as seen in Kerala's SSLC grading system. Studies such as those by Reddy (2017) argue that while grades like A+ or D+ provide a standardized measure, they may not fully capture student potential or learning gaps, particularly in STEM subjects where performance often dips. Critics like Kohn (2011) contend that over-reliance on grades can stifle creativity and intrinsic motivation, a concern echoed in cases where marginal grades (e.g., D+) limit higher education opportunities. Conversely, proponents assert that structured grading frameworks, like Kerala's, ensure accountability and transparency (Agarwal, 2019). The ongoing debate underscores the need for balanced assessment models that combine grades with qualitative evaluations to support holistic development.  </w:t>
      </w:r>
    </w:p>
    <w:p w14:paraId="6051CF25" w14:textId="4872A2CF" w:rsidR="006F1C7E" w:rsidRPr="006F1C7E" w:rsidRDefault="006F1C7E" w:rsidP="00977E8F"/>
    <w:p w14:paraId="0F2AFEA3" w14:textId="14DFCB99" w:rsidR="00B21B16" w:rsidRDefault="006F1C7E" w:rsidP="00977E8F">
      <w:r w:rsidRPr="006F1C7E">
        <w:t xml:space="preserve">The evaluation of grading systems in secondary education has been widely debated, with scholars examining their efficacy in measuring student achievement and influencing future academic opportunities. Research by Brookhart (2011) highlights that while grading systems, such as Kerala's SSLC framework, provide a standardized method of assessment, they often </w:t>
      </w:r>
    </w:p>
    <w:p w14:paraId="3D84B3DB" w14:textId="2D4D7269" w:rsidR="006F1C7E" w:rsidRDefault="006F1C7E" w:rsidP="00977E8F">
      <w:r w:rsidRPr="006F1C7E">
        <w:t>reduce complex learning outcomes to simplistic letter grades, potentially masking individual strengths and weaknesses. Studies in the Indian context (Reddy &amp; Kurien, 2018) reveal disparities in subject-wise performance, where students frequently score lower in STEM subjects (e.g., Physics, Chemistry) compared to languages, raising concerns about curriculum alignment and grading fairness. Critics like Kohn (1999) argue that traditional grading can demotivate learners, particularly those receiving marginal grades (e.g., D+), which may limit their access to higher education despite potential in other areas. Conversely, proponents (</w:t>
      </w:r>
      <w:proofErr w:type="spellStart"/>
      <w:r w:rsidRPr="006F1C7E">
        <w:t>Guskey</w:t>
      </w:r>
      <w:proofErr w:type="spellEnd"/>
      <w:r w:rsidRPr="006F1C7E">
        <w:t xml:space="preserve">, 2013) assert that structured grading ensures accountability and comparability across institutions. Recent trends advocate for hybrid models that integrate formative assessments with summative grades to provide a more holistic evaluation (Shepard, 2000). This ongoing </w:t>
      </w:r>
      <w:r w:rsidRPr="006F1C7E">
        <w:lastRenderedPageBreak/>
        <w:t>discourse underscores the need for reforms that balance standardization with flexibility to better support diverse learners.  </w:t>
      </w:r>
    </w:p>
    <w:p w14:paraId="00DCB263" w14:textId="77777777" w:rsidR="00B21B16" w:rsidRPr="006F1C7E" w:rsidRDefault="00B21B16" w:rsidP="00977E8F"/>
    <w:p w14:paraId="26F4A43D" w14:textId="563D977D" w:rsidR="006F1C7E" w:rsidRPr="006F1C7E" w:rsidRDefault="00B21B16" w:rsidP="00977E8F">
      <w:r>
        <w:t xml:space="preserve">                                                      </w:t>
      </w:r>
      <w:r w:rsidR="006F1C7E" w:rsidRPr="006F1C7E">
        <w:t>The implementation of credit-based grading systems in higher education has been extensively studied, with scholars examining their effectiveness in assessing student performance and facilitating academic progression. Research by Biggs (2003) emphasizes that such systems, which combine internal and external evaluations (e.g., the 1:4 ratio described in the document), promote continuous learning but may inadvertently prioritize quantifiable outcomes over deeper understanding. Studies in the Indian context (Patel &amp; Kumar, 2016) highlight challenges like the "F Grade penalty," where failing a single course can disproportionately affect overall results, potentially discouraging risk-taking in learning. Critics like Sadler (2009) argue that rigid grade boundaries (e.g., Table I's 10-point scale) may not account for marginal improvements, while proponents (</w:t>
      </w:r>
      <w:proofErr w:type="spellStart"/>
      <w:r w:rsidR="006F1C7E" w:rsidRPr="006F1C7E">
        <w:t>Guskey</w:t>
      </w:r>
      <w:proofErr w:type="spellEnd"/>
      <w:r w:rsidR="006F1C7E" w:rsidRPr="006F1C7E">
        <w:t>, 2015) assert that standardized metrics like CPA ensure transparency and comparability. Emerging research advocates for adaptive models that integrate formative feedback with summative grades to better support diverse learners (Wiliam, 2011). This discourse underscores the need for systems that balance academic rigor with flexibility to foster holistic development.  </w:t>
      </w:r>
    </w:p>
    <w:p w14:paraId="70F18959" w14:textId="77777777" w:rsidR="00A9293A" w:rsidRDefault="00A9293A" w:rsidP="00977E8F"/>
    <w:p w14:paraId="0FD64FD6" w14:textId="77777777" w:rsidR="00A9293A" w:rsidRDefault="00A9293A" w:rsidP="00977E8F"/>
    <w:p w14:paraId="7BEF7A1F" w14:textId="7D2F04C1" w:rsidR="004E17E2" w:rsidRDefault="004E17E2" w:rsidP="00977E8F">
      <w:pPr>
        <w:rPr>
          <w:b/>
          <w:bCs/>
        </w:rPr>
      </w:pPr>
      <w:r w:rsidRPr="004E17E2">
        <w:rPr>
          <w:b/>
          <w:bCs/>
        </w:rPr>
        <w:t>Gender Awareness and Knowledge</w:t>
      </w:r>
    </w:p>
    <w:p w14:paraId="19F10595" w14:textId="77777777" w:rsidR="0065737C" w:rsidRPr="004E17E2" w:rsidRDefault="0065737C" w:rsidP="00977E8F">
      <w:pPr>
        <w:rPr>
          <w:b/>
          <w:bCs/>
        </w:rPr>
      </w:pPr>
    </w:p>
    <w:p w14:paraId="3154FF99" w14:textId="1380B9CD" w:rsidR="004E17E2" w:rsidRPr="004E17E2" w:rsidRDefault="004E17E2" w:rsidP="00977E8F">
      <w:r w:rsidRPr="004E17E2">
        <w:t xml:space="preserve">A literature review on the impact of grading systems on student performance reveals diverse perspectives. Studies indicate that grading systems like the one used in Kerala's SSLC examinations, which categorize performance into distinct grade ranges (e.g., A+, B+, C), can influence student motivation and self-perception (Brookhart, 2004). Research by </w:t>
      </w:r>
      <w:proofErr w:type="spellStart"/>
      <w:r w:rsidRPr="004E17E2">
        <w:t>Guskey</w:t>
      </w:r>
      <w:proofErr w:type="spellEnd"/>
      <w:r w:rsidRPr="004E17E2">
        <w:t xml:space="preserve"> (2013) suggests that such systems may reduce performance anxiety by providing clearer benchmarks, but critics argue they can oversimplify learning outcomes (Kohn, 1999). Additionally, comparative studies highlight regional variations, with some systems </w:t>
      </w:r>
      <w:proofErr w:type="spellStart"/>
      <w:r w:rsidRPr="004E17E2">
        <w:t>favoring</w:t>
      </w:r>
      <w:proofErr w:type="spellEnd"/>
      <w:r w:rsidRPr="004E17E2">
        <w:t xml:space="preserve"> holistic assessments over letter grades (Sadler, 2009). The Kerala model, with its emphasis on descriptive grade ranges (e.g., "Outstanding" for A+), aligns with trends advocating for transparency, though its effectiveness in addressing disparities (e.g., lower grades in subjects like Social Science or Physics) warrants further investigation.</w:t>
      </w:r>
    </w:p>
    <w:p w14:paraId="24DE4FF9" w14:textId="77777777" w:rsidR="004E17E2" w:rsidRDefault="004E17E2" w:rsidP="00977E8F">
      <w:r w:rsidRPr="004E17E2">
        <w:t xml:space="preserve">A review of literature on grading systems in secondary education reveals ongoing debates about their efficacy and impact. Studies suggest that categorical grading systems like Kerala's </w:t>
      </w:r>
      <w:r w:rsidRPr="004E17E2">
        <w:lastRenderedPageBreak/>
        <w:t>SSLC, which employs descriptive labels (e.g., "Outstanding" for A+), provide clear performance benchmarks but may inadvertently narrow learning focus to testable outcomes (Brookhart, 2009). Research indicates such systems correlate with improved accountability (Marzano, 2000), yet critics argue they often mask nuanced learning gaps, particularly in STEM subjects where this transcript shows consistent underperformance (D+ in Physics/Chemistry versus A in IT). Comparative studies highlight cultural variations, with Asian systems like India's tending to emphasize summative assessment over formative growth (Berry, 2011). Emerging research calls for hybrid models that retain clarity while addressing observed subject-specific disparities and promoting holistic skill development (Andrade, 2019).</w:t>
      </w:r>
    </w:p>
    <w:p w14:paraId="3528B4B9" w14:textId="77777777" w:rsidR="0065737C" w:rsidRPr="004E17E2" w:rsidRDefault="0065737C" w:rsidP="00977E8F"/>
    <w:p w14:paraId="35F51A8C" w14:textId="37C19C4D" w:rsidR="00C74577" w:rsidRDefault="00C74577" w:rsidP="00977E8F">
      <w:pPr>
        <w:rPr>
          <w:b/>
          <w:bCs/>
        </w:rPr>
      </w:pPr>
      <w:r w:rsidRPr="00C74577">
        <w:rPr>
          <w:b/>
          <w:bCs/>
        </w:rPr>
        <w:t>Gender-Sensitive Skills</w:t>
      </w:r>
    </w:p>
    <w:p w14:paraId="1083868F" w14:textId="77777777" w:rsidR="0065737C" w:rsidRPr="00C74577" w:rsidRDefault="0065737C" w:rsidP="00977E8F">
      <w:pPr>
        <w:rPr>
          <w:b/>
          <w:bCs/>
        </w:rPr>
      </w:pPr>
    </w:p>
    <w:p w14:paraId="17082CA0" w14:textId="77777777" w:rsidR="00C74577" w:rsidRDefault="00C74577" w:rsidP="00977E8F">
      <w:r w:rsidRPr="00C74577">
        <w:t xml:space="preserve">A literature review on the impact of grading systems on student performance reveals a range of perspectives. Research by Brookhart (2009) emphasizes that grading systems, such as the one used in Kerala's SSLC examinations, can influence student motivation and self-perception, with higher grades often correlating with increased confidence. However, </w:t>
      </w:r>
      <w:proofErr w:type="spellStart"/>
      <w:r w:rsidRPr="00C74577">
        <w:t>Guskey</w:t>
      </w:r>
      <w:proofErr w:type="spellEnd"/>
      <w:r w:rsidRPr="00C74577">
        <w:t xml:space="preserve"> (2013) argues that the effectiveness of grading depends on its alignment with learning objectives, noting that inconsistent grading ranges may lead to misinterpretations of student achievement. Studies by Sadler (2005) further highlight the importance of clear grade descriptors to ensure fairness and transparency. Additionally, Marzano (2000) suggests that formative assessments alongside traditional grading can provide a more holistic view of student progress. Together, these studies underscore the need for balanced grading systems that accurately reflect student abilities while fostering educational growth.</w:t>
      </w:r>
    </w:p>
    <w:p w14:paraId="706B6686" w14:textId="77777777" w:rsidR="00992DD9" w:rsidRDefault="00992DD9" w:rsidP="00977E8F"/>
    <w:p w14:paraId="082245F9" w14:textId="77777777" w:rsidR="00992DD9" w:rsidRDefault="00992DD9" w:rsidP="00977E8F"/>
    <w:p w14:paraId="135949FE" w14:textId="77777777" w:rsidR="00992DD9" w:rsidRDefault="00992DD9" w:rsidP="00977E8F"/>
    <w:p w14:paraId="538F65E6" w14:textId="77777777" w:rsidR="00A9293A" w:rsidRDefault="00A9293A" w:rsidP="00977E8F"/>
    <w:p w14:paraId="11762777" w14:textId="77777777" w:rsidR="0065737C" w:rsidRDefault="0065737C" w:rsidP="00977E8F"/>
    <w:p w14:paraId="06AE7C0D" w14:textId="77777777" w:rsidR="0065737C" w:rsidRDefault="0065737C" w:rsidP="00977E8F"/>
    <w:p w14:paraId="30906076" w14:textId="77777777" w:rsidR="0065737C" w:rsidRDefault="0065737C" w:rsidP="00977E8F"/>
    <w:p w14:paraId="5115EE31" w14:textId="77777777" w:rsidR="0065737C" w:rsidRDefault="0065737C" w:rsidP="00977E8F"/>
    <w:p w14:paraId="5CA0DC68" w14:textId="77777777" w:rsidR="0065737C" w:rsidRDefault="0065737C" w:rsidP="00977E8F"/>
    <w:p w14:paraId="4E2A2EBE" w14:textId="77777777" w:rsidR="0065737C" w:rsidRDefault="0065737C" w:rsidP="00977E8F"/>
    <w:p w14:paraId="71F206A0" w14:textId="77777777" w:rsidR="0065737C" w:rsidRDefault="0065737C" w:rsidP="00977E8F"/>
    <w:p w14:paraId="11C30B2A" w14:textId="77777777" w:rsidR="0065737C" w:rsidRDefault="0065737C" w:rsidP="00977E8F"/>
    <w:p w14:paraId="56FADD08" w14:textId="77777777" w:rsidR="00A9293A" w:rsidRDefault="00A9293A" w:rsidP="00977E8F"/>
    <w:p w14:paraId="3EB296FE" w14:textId="3F450C6F" w:rsidR="00992DD9" w:rsidRDefault="00992DD9" w:rsidP="00977E8F">
      <w:pPr>
        <w:rPr>
          <w:b/>
          <w:bCs/>
          <w:sz w:val="32"/>
          <w:szCs w:val="32"/>
        </w:rPr>
      </w:pPr>
      <w:r w:rsidRPr="0065737C">
        <w:rPr>
          <w:b/>
          <w:bCs/>
          <w:sz w:val="32"/>
          <w:szCs w:val="32"/>
        </w:rPr>
        <w:t>Re</w:t>
      </w:r>
      <w:r w:rsidR="00A629B2" w:rsidRPr="0065737C">
        <w:rPr>
          <w:b/>
          <w:bCs/>
          <w:sz w:val="32"/>
          <w:szCs w:val="32"/>
        </w:rPr>
        <w:t>search Gap</w:t>
      </w:r>
    </w:p>
    <w:p w14:paraId="6BFCC4D3" w14:textId="77777777" w:rsidR="0065737C" w:rsidRPr="0065737C" w:rsidRDefault="0065737C" w:rsidP="00977E8F">
      <w:pPr>
        <w:rPr>
          <w:b/>
          <w:bCs/>
          <w:sz w:val="32"/>
          <w:szCs w:val="32"/>
        </w:rPr>
      </w:pPr>
    </w:p>
    <w:tbl>
      <w:tblPr>
        <w:tblW w:w="0" w:type="auto"/>
        <w:tblCellMar>
          <w:top w:w="15" w:type="dxa"/>
          <w:left w:w="15" w:type="dxa"/>
          <w:bottom w:w="15" w:type="dxa"/>
          <w:right w:w="15" w:type="dxa"/>
        </w:tblCellMar>
        <w:tblLook w:val="04A0" w:firstRow="1" w:lastRow="0" w:firstColumn="1" w:lastColumn="0" w:noHBand="0" w:noVBand="1"/>
      </w:tblPr>
      <w:tblGrid>
        <w:gridCol w:w="591"/>
        <w:gridCol w:w="7715"/>
      </w:tblGrid>
      <w:tr w:rsidR="00C74577" w:rsidRPr="0065737C" w14:paraId="37C3476D" w14:textId="77777777" w:rsidTr="006E6A71">
        <w:tc>
          <w:tcPr>
            <w:tcW w:w="591" w:type="dxa"/>
            <w:tcMar>
              <w:top w:w="0" w:type="dxa"/>
              <w:left w:w="240" w:type="dxa"/>
              <w:bottom w:w="0" w:type="dxa"/>
              <w:right w:w="240" w:type="dxa"/>
            </w:tcMar>
            <w:hideMark/>
          </w:tcPr>
          <w:p w14:paraId="2FA4BFB5" w14:textId="68670EB9" w:rsidR="00C74577" w:rsidRPr="0065737C" w:rsidRDefault="00C74577" w:rsidP="00977E8F">
            <w:pPr>
              <w:rPr>
                <w:sz w:val="32"/>
                <w:szCs w:val="32"/>
              </w:rPr>
            </w:pPr>
          </w:p>
        </w:tc>
        <w:tc>
          <w:tcPr>
            <w:tcW w:w="7715" w:type="dxa"/>
            <w:tcMar>
              <w:top w:w="0" w:type="dxa"/>
              <w:left w:w="0" w:type="dxa"/>
              <w:bottom w:w="0" w:type="dxa"/>
              <w:right w:w="0" w:type="dxa"/>
            </w:tcMar>
            <w:vAlign w:val="center"/>
            <w:hideMark/>
          </w:tcPr>
          <w:p w14:paraId="6E5E6E88" w14:textId="0968C423" w:rsidR="00C74577" w:rsidRPr="0065737C" w:rsidRDefault="00C74577" w:rsidP="00977E8F">
            <w:pPr>
              <w:rPr>
                <w:sz w:val="32"/>
                <w:szCs w:val="32"/>
              </w:rPr>
            </w:pPr>
          </w:p>
        </w:tc>
      </w:tr>
    </w:tbl>
    <w:p w14:paraId="43B2D9A0" w14:textId="116D65FE" w:rsidR="00413194" w:rsidRDefault="006E6A71" w:rsidP="00977E8F">
      <w:r w:rsidRPr="006E6A71">
        <w:t xml:space="preserve">A critical research gap exists at the intersection of ethical fieldwork protocols, practical gender competency application, and holistic student assessment within social work education addressing gender-based violence (GBV). First, while </w:t>
      </w:r>
      <w:proofErr w:type="spellStart"/>
      <w:r w:rsidRPr="006E6A71">
        <w:t>Sikweyiya</w:t>
      </w:r>
      <w:proofErr w:type="spellEnd"/>
      <w:r w:rsidRPr="006E6A71">
        <w:t xml:space="preserve"> (2013) establishes that adherence to ethical guidelines (e.g., WHO protocols) minimizes harm in GBV research, there is insufficient examination of how these protocols translate to </w:t>
      </w:r>
      <w:r w:rsidR="00413194">
        <w:t xml:space="preserve"> </w:t>
      </w:r>
      <w:r w:rsidRPr="006E6A71">
        <w:t>student-led fieldwork</w:t>
      </w:r>
      <w:r w:rsidR="00413194">
        <w:t xml:space="preserve"> </w:t>
      </w:r>
      <w:r w:rsidRPr="006E6A71">
        <w:t xml:space="preserve"> in close-knit communities like Kerala. </w:t>
      </w:r>
    </w:p>
    <w:p w14:paraId="67087BAF" w14:textId="77777777" w:rsidR="00682F61" w:rsidRDefault="00413194" w:rsidP="00977E8F">
      <w:r>
        <w:t xml:space="preserve">                                                         </w:t>
      </w:r>
      <w:r w:rsidR="006E6A71" w:rsidRPr="006E6A71">
        <w:t>The dissertation reveals MSW students actively engage with GBV survivors through counseling, crisis intervention, and advocacy, yet lacks analysis of how they navigate context-specific ethical challenges—such as ensuring confidentiality in socially interconnected settings, managing power dynamics between trainee and survivor, or obtaining truly informed consent when documenting cases for academic requirements. This highlights the need to adapt global ethical frameworks to local fieldwork realities in social work pedagogy.</w:t>
      </w:r>
    </w:p>
    <w:p w14:paraId="66F4BE70" w14:textId="77777777" w:rsidR="004E4031" w:rsidRDefault="00682F61" w:rsidP="00977E8F">
      <w:r>
        <w:t xml:space="preserve">                                 </w:t>
      </w:r>
      <w:r w:rsidR="006E6A71" w:rsidRPr="006E6A71">
        <w:t xml:space="preserve"> Second, a significant theory-practice divide persists in gender competency training. While Olson et al. (2022) and </w:t>
      </w:r>
      <w:proofErr w:type="spellStart"/>
      <w:r w:rsidR="006E6A71" w:rsidRPr="006E6A71">
        <w:t>Mtaita</w:t>
      </w:r>
      <w:proofErr w:type="spellEnd"/>
      <w:r w:rsidR="006E6A71" w:rsidRPr="006E6A71">
        <w:t xml:space="preserve"> et al. (2023) emphasize the need for continuous, mentorship-based GBV response training for professionals, the dissertation uncovers that MSW students at MG University, despite foundational knowledge of gender theories and laws, struggle significantly with real-world application. Key deficiencies include underdeveloped skills in policy advocacy, interdisciplinary collaboration (e.g., with legal/health systems), and managing complex ethical dilemmas (e.g., family pressure on survivors). Furthermore, students report emotional unpreparedness for the trauma inherent in GBV work, yet curricula lack structured emotional debriefing or resilience training. This gap underscores the necessity for integrated "training-to-practice" models—incorporating contextual simulations, sustained mentorship with frontline GBV responders, and trauma-informed supervision—to bridge theoretical learning and effective survivor-centered care.</w:t>
      </w:r>
    </w:p>
    <w:p w14:paraId="07E27A07" w14:textId="0E55298F" w:rsidR="004E17E2" w:rsidRDefault="004E4031" w:rsidP="00977E8F">
      <w:r>
        <w:t xml:space="preserve">                                                     </w:t>
      </w:r>
      <w:r w:rsidR="006E6A71" w:rsidRPr="006E6A71">
        <w:t xml:space="preserve"> Third, current assessment methods fail to holistically evaluate student readiness for GBV intervention. Literature critiques traditional grading systems (e.g., Brookhart, 2009; Kohn, 2011; Reddy, 2018) for oversimplifying learning, masking subject-</w:t>
      </w:r>
      <w:r w:rsidR="006E6A71" w:rsidRPr="006E6A71">
        <w:lastRenderedPageBreak/>
        <w:t>specific disparities (like STEM vs. humanities performance), and potentially demotivating students, especially those receiving marginal grades. The dissertation assesses competency through knowledge, skills, and practice dimensions but relies heavily on conventional academic metrics (grades, exams, supervisor evaluations) that may not capture critical, nuanced competencies for GBV work—such as empathetic communication, crisis management under pressure, or ethical decision-making in volatile situations. The reliance on descriptive letter grades (e.g., Kerala’s "Outstanding" for A+) risks obscuring specific skill gaps. Additionally, current assessments do not account for how intersecting student identities (caste, class, gender) or community barriers impact fieldwork performance. This gap calls for developing and validating alternative, equitable assessment models—such as competency-based portfolios incorporating anonymized survivor feedback, structured peer reviews, reflective journals on ethical dilemmas, and formative assessments focused on skill application—to truly measure preparedness for complex gender justice work. Synthesizing these gaps reveals an urgent need for an integrated framework in social work education that embeds context-sensitive ethical protocols into fieldwork, closes the theory-practice gap through multisectoral mentorship and emotional support systems, and replaces rigid grading with holistic competency assessments. Kerala, with its paradoxical backdrop of high social development indicators yet persistent GBV, provides a crucial context for developing and testing such a framework, with implications for similar settings globally.</w:t>
      </w:r>
    </w:p>
    <w:p w14:paraId="384EDF52" w14:textId="77777777" w:rsidR="00FE0B73" w:rsidRDefault="00FE0B73" w:rsidP="00977E8F"/>
    <w:p w14:paraId="7FDAC23A" w14:textId="77777777" w:rsidR="00FE0B73" w:rsidRDefault="00FE0B73" w:rsidP="008871AF"/>
    <w:p w14:paraId="4A8BC193" w14:textId="77777777" w:rsidR="00FE0B73" w:rsidRDefault="00FE0B73" w:rsidP="008871AF"/>
    <w:p w14:paraId="5A002F71" w14:textId="77777777" w:rsidR="00FE0B73" w:rsidRDefault="00FE0B73" w:rsidP="008871AF"/>
    <w:p w14:paraId="40E9F015" w14:textId="77777777" w:rsidR="00FE0B73" w:rsidRDefault="00FE0B73" w:rsidP="008871AF"/>
    <w:p w14:paraId="0EE2120B" w14:textId="77777777" w:rsidR="00FE0B73" w:rsidRDefault="00FE0B73" w:rsidP="008871AF"/>
    <w:p w14:paraId="16525F40" w14:textId="77777777" w:rsidR="00FE0B73" w:rsidRDefault="00FE0B73" w:rsidP="008871AF"/>
    <w:p w14:paraId="7C20C6CE" w14:textId="77777777" w:rsidR="00FE0B73" w:rsidRDefault="00FE0B73" w:rsidP="008871AF"/>
    <w:p w14:paraId="5C7267DD" w14:textId="77777777" w:rsidR="00FE0B73" w:rsidRDefault="00FE0B73" w:rsidP="008871AF"/>
    <w:p w14:paraId="36410875" w14:textId="77777777" w:rsidR="00FE0B73" w:rsidRDefault="00FE0B73" w:rsidP="008871AF"/>
    <w:p w14:paraId="09315FF7" w14:textId="77777777" w:rsidR="00FE0B73" w:rsidRDefault="00FE0B73" w:rsidP="008871AF"/>
    <w:p w14:paraId="6C2BB2C8" w14:textId="77777777" w:rsidR="00FE0B73" w:rsidRDefault="00FE0B73" w:rsidP="008871AF"/>
    <w:p w14:paraId="57307C3D" w14:textId="77777777" w:rsidR="00FE0B73" w:rsidRDefault="00FE0B73" w:rsidP="008871AF"/>
    <w:p w14:paraId="7DB12D42" w14:textId="77777777" w:rsidR="00FE0B73" w:rsidRDefault="00FE0B73" w:rsidP="008871AF"/>
    <w:p w14:paraId="6A1059C4" w14:textId="77777777" w:rsidR="00FE0B73" w:rsidRDefault="00FE0B73" w:rsidP="008871AF"/>
    <w:p w14:paraId="7FF2904F" w14:textId="77777777" w:rsidR="00FE0B73" w:rsidRDefault="00FE0B73" w:rsidP="008871AF"/>
    <w:p w14:paraId="1A74B7D8" w14:textId="77777777" w:rsidR="00FE0B73" w:rsidRDefault="00FE0B73" w:rsidP="008871AF"/>
    <w:p w14:paraId="2966DCF4" w14:textId="77777777" w:rsidR="00FE0B73" w:rsidRDefault="00FE0B73" w:rsidP="008871AF"/>
    <w:p w14:paraId="63C78EDA" w14:textId="77777777" w:rsidR="00FE0B73" w:rsidRDefault="00FE0B73" w:rsidP="008871AF"/>
    <w:p w14:paraId="5B6987F7" w14:textId="77777777" w:rsidR="00FE0B73" w:rsidRDefault="00FE0B73" w:rsidP="008871AF"/>
    <w:p w14:paraId="4AEA36D5" w14:textId="77777777" w:rsidR="00FE0B73" w:rsidRDefault="00FE0B73" w:rsidP="008871AF"/>
    <w:p w14:paraId="24003C89" w14:textId="77777777" w:rsidR="00FE0B73" w:rsidRDefault="00FE0B73" w:rsidP="008871AF"/>
    <w:p w14:paraId="1E73535D" w14:textId="77777777" w:rsidR="00FE0B73" w:rsidRDefault="00FE0B73" w:rsidP="008871AF"/>
    <w:p w14:paraId="65839313" w14:textId="77777777" w:rsidR="00FE0B73" w:rsidRDefault="00FE0B73" w:rsidP="008871AF"/>
    <w:p w14:paraId="4AFB8A3A" w14:textId="77777777" w:rsidR="00FE0B73" w:rsidRDefault="00FE0B73" w:rsidP="008871AF"/>
    <w:p w14:paraId="2FC62DF9" w14:textId="77777777" w:rsidR="00FE0B73" w:rsidRDefault="00FE0B73" w:rsidP="008871AF"/>
    <w:p w14:paraId="4FE4B45F" w14:textId="77777777" w:rsidR="00FE0B73" w:rsidRDefault="00FE0B73" w:rsidP="008871AF"/>
    <w:p w14:paraId="5A540D3A" w14:textId="77777777" w:rsidR="00FE0B73" w:rsidRDefault="00FE0B73" w:rsidP="008871AF"/>
    <w:p w14:paraId="519A4D5E" w14:textId="77777777" w:rsidR="00FE0B73" w:rsidRDefault="00FE0B73" w:rsidP="008871AF"/>
    <w:p w14:paraId="724C0C0F" w14:textId="77777777" w:rsidR="007022E8" w:rsidRDefault="007022E8" w:rsidP="008871AF"/>
    <w:p w14:paraId="0AA39B85" w14:textId="77777777" w:rsidR="007022E8" w:rsidRDefault="007022E8" w:rsidP="008871AF"/>
    <w:p w14:paraId="63BA007A" w14:textId="5C73F574" w:rsidR="00FE0B73" w:rsidRPr="001F09B1" w:rsidRDefault="00363881" w:rsidP="008871AF">
      <w:pPr>
        <w:rPr>
          <w:b/>
          <w:bCs/>
          <w:sz w:val="40"/>
          <w:szCs w:val="40"/>
        </w:rPr>
      </w:pPr>
      <w:r>
        <w:t xml:space="preserve">                                                               </w:t>
      </w:r>
      <w:r w:rsidR="007022E8" w:rsidRPr="001F09B1">
        <w:rPr>
          <w:b/>
          <w:bCs/>
          <w:sz w:val="40"/>
          <w:szCs w:val="40"/>
        </w:rPr>
        <w:t>CHAPTER 3</w:t>
      </w:r>
    </w:p>
    <w:p w14:paraId="3D204452" w14:textId="6A2284BD" w:rsidR="007022E8" w:rsidRPr="001F09B1" w:rsidRDefault="00363881" w:rsidP="008871AF">
      <w:pPr>
        <w:rPr>
          <w:b/>
          <w:bCs/>
          <w:sz w:val="40"/>
          <w:szCs w:val="40"/>
        </w:rPr>
      </w:pPr>
      <w:r w:rsidRPr="001F09B1">
        <w:rPr>
          <w:b/>
          <w:bCs/>
          <w:sz w:val="40"/>
          <w:szCs w:val="40"/>
        </w:rPr>
        <w:t xml:space="preserve">                       </w:t>
      </w:r>
      <w:r w:rsidR="001F09B1" w:rsidRPr="001F09B1">
        <w:rPr>
          <w:b/>
          <w:bCs/>
          <w:sz w:val="40"/>
          <w:szCs w:val="40"/>
        </w:rPr>
        <w:t xml:space="preserve"> </w:t>
      </w:r>
      <w:r w:rsidRPr="001F09B1">
        <w:rPr>
          <w:b/>
          <w:bCs/>
          <w:sz w:val="40"/>
          <w:szCs w:val="40"/>
        </w:rPr>
        <w:t xml:space="preserve">       </w:t>
      </w:r>
      <w:r w:rsidR="007022E8" w:rsidRPr="001F09B1">
        <w:rPr>
          <w:b/>
          <w:bCs/>
          <w:sz w:val="40"/>
          <w:szCs w:val="40"/>
        </w:rPr>
        <w:t>METHODOLOGY</w:t>
      </w:r>
    </w:p>
    <w:p w14:paraId="480EED13" w14:textId="77777777" w:rsidR="00CE10A0" w:rsidRPr="0065737C" w:rsidRDefault="00CE10A0" w:rsidP="00CE10A0">
      <w:pPr>
        <w:rPr>
          <w:sz w:val="40"/>
          <w:szCs w:val="40"/>
        </w:rPr>
      </w:pPr>
    </w:p>
    <w:p w14:paraId="2FE8CA79" w14:textId="77777777" w:rsidR="00CE10A0" w:rsidRPr="00CE10A0" w:rsidRDefault="00CE10A0" w:rsidP="00CE10A0"/>
    <w:p w14:paraId="3D7AC518" w14:textId="77777777" w:rsidR="00CE10A0" w:rsidRPr="00CE10A0" w:rsidRDefault="00CE10A0" w:rsidP="00CE10A0"/>
    <w:p w14:paraId="45EB8A77" w14:textId="77777777" w:rsidR="00CE10A0" w:rsidRPr="00CE10A0" w:rsidRDefault="00CE10A0" w:rsidP="00CE10A0"/>
    <w:p w14:paraId="435F7874" w14:textId="77777777" w:rsidR="00CE10A0" w:rsidRPr="00CE10A0" w:rsidRDefault="00CE10A0" w:rsidP="00CE10A0"/>
    <w:p w14:paraId="5B889556" w14:textId="77777777" w:rsidR="00CE10A0" w:rsidRPr="00CE10A0" w:rsidRDefault="00CE10A0" w:rsidP="00CE10A0"/>
    <w:p w14:paraId="27EBB851" w14:textId="77777777" w:rsidR="00CE10A0" w:rsidRPr="00CE10A0" w:rsidRDefault="00CE10A0" w:rsidP="00CE10A0"/>
    <w:p w14:paraId="4B6B9400" w14:textId="77777777" w:rsidR="00CE10A0" w:rsidRPr="00CE10A0" w:rsidRDefault="00CE10A0" w:rsidP="00CE10A0"/>
    <w:p w14:paraId="68F6B9B0" w14:textId="5C3E7478" w:rsidR="00CE10A0" w:rsidRDefault="00CE10A0" w:rsidP="00CE10A0">
      <w:pPr>
        <w:tabs>
          <w:tab w:val="left" w:pos="3380"/>
        </w:tabs>
      </w:pPr>
      <w:r>
        <w:tab/>
      </w:r>
    </w:p>
    <w:p w14:paraId="2102E1D0" w14:textId="77777777" w:rsidR="00CE10A0" w:rsidRDefault="00CE10A0" w:rsidP="00CE10A0">
      <w:pPr>
        <w:tabs>
          <w:tab w:val="left" w:pos="3380"/>
        </w:tabs>
      </w:pPr>
    </w:p>
    <w:p w14:paraId="69FEC034" w14:textId="77777777" w:rsidR="00CE10A0" w:rsidRDefault="00CE10A0" w:rsidP="00CE10A0">
      <w:pPr>
        <w:tabs>
          <w:tab w:val="left" w:pos="3380"/>
        </w:tabs>
      </w:pPr>
    </w:p>
    <w:p w14:paraId="1379956C" w14:textId="77777777" w:rsidR="00CE10A0" w:rsidRDefault="00CE10A0" w:rsidP="00CE10A0">
      <w:pPr>
        <w:tabs>
          <w:tab w:val="left" w:pos="3380"/>
        </w:tabs>
      </w:pPr>
    </w:p>
    <w:p w14:paraId="768C7014" w14:textId="77777777" w:rsidR="00CE10A0" w:rsidRDefault="00CE10A0" w:rsidP="00CE10A0">
      <w:pPr>
        <w:tabs>
          <w:tab w:val="left" w:pos="3380"/>
        </w:tabs>
      </w:pPr>
    </w:p>
    <w:p w14:paraId="23185C34" w14:textId="77777777" w:rsidR="00CE10A0" w:rsidRDefault="00CE10A0" w:rsidP="00CE10A0">
      <w:pPr>
        <w:tabs>
          <w:tab w:val="left" w:pos="3380"/>
        </w:tabs>
      </w:pPr>
    </w:p>
    <w:p w14:paraId="2E82D953" w14:textId="77777777" w:rsidR="00CE10A0" w:rsidRDefault="00CE10A0" w:rsidP="00CE10A0">
      <w:pPr>
        <w:tabs>
          <w:tab w:val="left" w:pos="3380"/>
        </w:tabs>
      </w:pPr>
    </w:p>
    <w:p w14:paraId="2B0BC7DA" w14:textId="77777777" w:rsidR="00CE10A0" w:rsidRDefault="00CE10A0" w:rsidP="00CE10A0">
      <w:pPr>
        <w:tabs>
          <w:tab w:val="left" w:pos="3380"/>
        </w:tabs>
      </w:pPr>
    </w:p>
    <w:p w14:paraId="32F2E148" w14:textId="77777777" w:rsidR="00CE10A0" w:rsidRDefault="00CE10A0" w:rsidP="00CE10A0">
      <w:pPr>
        <w:tabs>
          <w:tab w:val="left" w:pos="3380"/>
        </w:tabs>
      </w:pPr>
    </w:p>
    <w:p w14:paraId="2080D9B7" w14:textId="539C8537" w:rsidR="00CE10A0" w:rsidRDefault="009F15EF" w:rsidP="00CE10A0">
      <w:pPr>
        <w:tabs>
          <w:tab w:val="left" w:pos="3380"/>
        </w:tabs>
      </w:pPr>
      <w:r w:rsidRPr="002B13AF">
        <w:rPr>
          <w:b/>
          <w:bCs/>
        </w:rPr>
        <w:t>INRODUCTION</w:t>
      </w:r>
    </w:p>
    <w:p w14:paraId="22A38B9F" w14:textId="77777777" w:rsidR="002B13AF" w:rsidRDefault="002B13AF" w:rsidP="00CE10A0">
      <w:pPr>
        <w:tabs>
          <w:tab w:val="left" w:pos="3380"/>
        </w:tabs>
      </w:pPr>
    </w:p>
    <w:p w14:paraId="7730275A" w14:textId="40803647" w:rsidR="002B13AF" w:rsidRDefault="002B13AF" w:rsidP="00CE10A0">
      <w:pPr>
        <w:tabs>
          <w:tab w:val="left" w:pos="3380"/>
        </w:tabs>
      </w:pPr>
      <w:r>
        <w:t>The research methodology forms the backbone of any scientific inquiry, guiding how a study is structured, how data is collected and analyzed, and how conclusions are drawn. This chapter outlines the methodological framework used to assess the gender competencies of final-year Master of Social Work (MSW) students enrolled in colleges under Mahatma Gandhi University, Kerala. The study aims to evaluate students’ knowledge, skills, attitudes, and practical readiness in addressing gender-based inequalities and gender-based violence (GBV) within diverse field settings.</w:t>
      </w:r>
    </w:p>
    <w:p w14:paraId="0D62AAAC" w14:textId="77777777" w:rsidR="002B13AF" w:rsidRDefault="002B13AF" w:rsidP="00CE10A0">
      <w:pPr>
        <w:tabs>
          <w:tab w:val="left" w:pos="3380"/>
        </w:tabs>
      </w:pPr>
    </w:p>
    <w:p w14:paraId="1D3A4F72" w14:textId="3CB8C784" w:rsidR="002B13AF" w:rsidRDefault="002B13AF" w:rsidP="00CE10A0">
      <w:pPr>
        <w:tabs>
          <w:tab w:val="left" w:pos="3380"/>
        </w:tabs>
      </w:pPr>
      <w:r>
        <w:t>Given the nature of the research objectives, a quantitative research design</w:t>
      </w:r>
      <w:r w:rsidR="009F3922">
        <w:t xml:space="preserve"> </w:t>
      </w:r>
      <w:r>
        <w:t>was selected to enable a systematic and objective measurement of gender competencies across a defined sample. The methodology includes clearly defined research questions, hypotheses, sampling techniques, data collection instruments, and analysis strategies, all of which were chosen to ensure reliability, validity, and ethical integrity.</w:t>
      </w:r>
    </w:p>
    <w:p w14:paraId="61067C6A" w14:textId="77777777" w:rsidR="002B13AF" w:rsidRDefault="002B13AF" w:rsidP="00CE10A0">
      <w:pPr>
        <w:tabs>
          <w:tab w:val="left" w:pos="3380"/>
        </w:tabs>
      </w:pPr>
    </w:p>
    <w:p w14:paraId="50DFCA98" w14:textId="14EB1F09" w:rsidR="002B13AF" w:rsidRDefault="002B13AF" w:rsidP="00CE10A0">
      <w:pPr>
        <w:tabs>
          <w:tab w:val="left" w:pos="3380"/>
        </w:tabs>
      </w:pPr>
      <w:r>
        <w:t>This chapter begins with the statement of the problem</w:t>
      </w:r>
      <w:r w:rsidR="009F3922">
        <w:t xml:space="preserve"> </w:t>
      </w:r>
      <w:r>
        <w:t xml:space="preserve">and outlines the significance of the study in the context of current gaps in social work education and practice. It proceeds to detail the research objectives and </w:t>
      </w:r>
      <w:proofErr w:type="spellStart"/>
      <w:r w:rsidR="006F6FDF">
        <w:t>hypothese</w:t>
      </w:r>
      <w:proofErr w:type="spellEnd"/>
      <w:r>
        <w:t>, offering both general and specific aims that guide the data collection and interpretation. Further, it defines key concepts both theoretically and operationally to ensure clarity and consistency.</w:t>
      </w:r>
    </w:p>
    <w:p w14:paraId="346C0C20" w14:textId="77777777" w:rsidR="002B13AF" w:rsidRDefault="002B13AF" w:rsidP="00CE10A0">
      <w:pPr>
        <w:tabs>
          <w:tab w:val="left" w:pos="3380"/>
        </w:tabs>
      </w:pPr>
    </w:p>
    <w:p w14:paraId="3019F879" w14:textId="77B17FC8" w:rsidR="002B13AF" w:rsidRDefault="002B13AF" w:rsidP="00CE10A0">
      <w:pPr>
        <w:tabs>
          <w:tab w:val="left" w:pos="3380"/>
        </w:tabs>
      </w:pPr>
      <w:r>
        <w:t>The chapter then elaborates on the research universe, sampling methods, and the criteria for inclusion and exclusion of participants. This is followed by a discussion of the data collection tools, including the structure and rationale behind the questionnaire used in the study. The section on data analysis describes the statistical procedures employed to interpret the findings, and the ethical considerations</w:t>
      </w:r>
      <w:r w:rsidR="00FC1984">
        <w:t xml:space="preserve"> </w:t>
      </w:r>
      <w:r>
        <w:t>detail the measures taken to protect participants’ rights and maintain research integrity.</w:t>
      </w:r>
    </w:p>
    <w:p w14:paraId="6F5E136B" w14:textId="77777777" w:rsidR="002B13AF" w:rsidRDefault="002B13AF" w:rsidP="00CE10A0">
      <w:pPr>
        <w:tabs>
          <w:tab w:val="left" w:pos="3380"/>
        </w:tabs>
      </w:pPr>
    </w:p>
    <w:p w14:paraId="744DCDC3" w14:textId="41FC5D3D" w:rsidR="002B13AF" w:rsidRPr="002B13AF" w:rsidRDefault="002B13AF" w:rsidP="00CE10A0">
      <w:pPr>
        <w:tabs>
          <w:tab w:val="left" w:pos="3380"/>
        </w:tabs>
      </w:pPr>
      <w:r>
        <w:t xml:space="preserve">By articulating a transparent and rigorous methodological approach, this chapter ensures that the study’s findings are both credible and replicable, providing a strong foundation for </w:t>
      </w:r>
      <w:r>
        <w:lastRenderedPageBreak/>
        <w:t>evidence-based recommendations in social work education and gender competency development.</w:t>
      </w:r>
    </w:p>
    <w:p w14:paraId="0C753E7E" w14:textId="77777777" w:rsidR="002B13AF" w:rsidRDefault="002B13AF" w:rsidP="00CE10A0">
      <w:pPr>
        <w:tabs>
          <w:tab w:val="left" w:pos="3380"/>
        </w:tabs>
      </w:pPr>
    </w:p>
    <w:p w14:paraId="4063EF4B" w14:textId="77777777" w:rsidR="00531C01" w:rsidRDefault="00531C01" w:rsidP="00CE10A0">
      <w:pPr>
        <w:tabs>
          <w:tab w:val="left" w:pos="3380"/>
        </w:tabs>
      </w:pPr>
    </w:p>
    <w:p w14:paraId="04ED1417" w14:textId="5B0BEAEC" w:rsidR="009F15EF" w:rsidRDefault="00FB1308" w:rsidP="00CE10A0">
      <w:pPr>
        <w:tabs>
          <w:tab w:val="left" w:pos="3380"/>
        </w:tabs>
        <w:rPr>
          <w:b/>
          <w:bCs/>
        </w:rPr>
      </w:pPr>
      <w:r w:rsidRPr="00F3550F">
        <w:rPr>
          <w:b/>
          <w:bCs/>
        </w:rPr>
        <w:t>STATEMENT OF THE PROBLEM</w:t>
      </w:r>
    </w:p>
    <w:p w14:paraId="6CA24DB6" w14:textId="77777777" w:rsidR="001F09B1" w:rsidRPr="00F3550F" w:rsidRDefault="001F09B1" w:rsidP="00CE10A0">
      <w:pPr>
        <w:tabs>
          <w:tab w:val="left" w:pos="3380"/>
        </w:tabs>
        <w:rPr>
          <w:b/>
          <w:bCs/>
        </w:rPr>
      </w:pPr>
    </w:p>
    <w:p w14:paraId="09594240" w14:textId="6AC9B321" w:rsidR="00766ECC" w:rsidRDefault="00766ECC" w:rsidP="00B02542">
      <w:pPr>
        <w:tabs>
          <w:tab w:val="left" w:pos="3380"/>
        </w:tabs>
      </w:pPr>
    </w:p>
    <w:p w14:paraId="404F34C4" w14:textId="77777777" w:rsidR="00766ECC" w:rsidRDefault="00766ECC" w:rsidP="00B02542">
      <w:pPr>
        <w:tabs>
          <w:tab w:val="left" w:pos="3380"/>
        </w:tabs>
      </w:pPr>
    </w:p>
    <w:p w14:paraId="39A820CA" w14:textId="77777777" w:rsidR="00766ECC" w:rsidRDefault="00766ECC" w:rsidP="00B02542">
      <w:pPr>
        <w:tabs>
          <w:tab w:val="left" w:pos="3380"/>
        </w:tabs>
      </w:pPr>
      <w:r>
        <w:t xml:space="preserve">Gender inequality and gender-based violence (GBV) remain among the most urgent and deeply rooted challenges facing contemporary societies, cutting across geographic, cultural, and socio-economic boundaries. These injustices manifest in multiple forms—such as domestic violence, sexual harassment, child marriage, </w:t>
      </w:r>
      <w:proofErr w:type="spellStart"/>
      <w:r>
        <w:t>honor</w:t>
      </w:r>
      <w:proofErr w:type="spellEnd"/>
      <w:r>
        <w:t>-based crimes, workplace discrimination, and limited access to education and healthcare for women and gender minorities. At their core, these violations are not isolated incidents but systemic issues, entrenched in patriarchal norms, institutional practices, and longstanding social hierarchies. They not only infringe upon basic human rights but also impede inclusive development, undermine public health, and perpetuate intergenerational cycles of disadvantage and trauma.</w:t>
      </w:r>
    </w:p>
    <w:p w14:paraId="01FEBA35" w14:textId="77777777" w:rsidR="00766ECC" w:rsidRDefault="00766ECC" w:rsidP="00B02542">
      <w:pPr>
        <w:tabs>
          <w:tab w:val="left" w:pos="3380"/>
        </w:tabs>
      </w:pPr>
    </w:p>
    <w:p w14:paraId="243A280C" w14:textId="3FD84437" w:rsidR="00766ECC" w:rsidRDefault="00766ECC" w:rsidP="00B02542">
      <w:pPr>
        <w:tabs>
          <w:tab w:val="left" w:pos="3380"/>
        </w:tabs>
      </w:pPr>
      <w:r>
        <w:t>In this landscape, social workers occupy a critical role. As frontline professionals who directly engage with individuals, families, and communities, they are uniquely positioned to identify, intervene, and advocate in situations of gender-based oppression. They are expected to challenge harmful cultural norms, promote empowerment, facilitate access to justice, and build support systems for survivors. However, their capacity to do so effectively relies heavily on their gender competencies</w:t>
      </w:r>
      <w:r w:rsidR="007C176E">
        <w:t xml:space="preserve"> </w:t>
      </w:r>
      <w:r>
        <w:t>a comprehensive set of knowledge, skills, attitudes, and ethical orientations that enable them to recognize, respond to, and prevent gender injustice in a contextually sensitive and rights-based manner.</w:t>
      </w:r>
    </w:p>
    <w:p w14:paraId="661F0EF4" w14:textId="77777777" w:rsidR="00766ECC" w:rsidRDefault="00766ECC" w:rsidP="00B02542">
      <w:pPr>
        <w:tabs>
          <w:tab w:val="left" w:pos="3380"/>
        </w:tabs>
      </w:pPr>
    </w:p>
    <w:p w14:paraId="5BC20D1E" w14:textId="77777777" w:rsidR="005561B6" w:rsidRDefault="00766ECC" w:rsidP="00B02542">
      <w:pPr>
        <w:tabs>
          <w:tab w:val="left" w:pos="3380"/>
        </w:tabs>
      </w:pPr>
      <w:r>
        <w:t xml:space="preserve">Despite the growing recognition of the importance of these competencies, there is a significant gap in empirical research examining the actual preparedness of social workers and social work students in this area. Much of the existing discourse on gender in social work remains theoretical or policy-focused, with limited exploration of how these ideals are translated into practice on the ground. Questions persist: To what extent are social work </w:t>
      </w:r>
      <w:r>
        <w:lastRenderedPageBreak/>
        <w:t xml:space="preserve">students trained to apply gender-sensitive approaches? How confident are they in navigating the complex emotional, cultural, and ethical dimensions of GBV cases? Are educational </w:t>
      </w:r>
    </w:p>
    <w:p w14:paraId="0707FF7D" w14:textId="77777777" w:rsidR="005561B6" w:rsidRDefault="005561B6" w:rsidP="00B02542">
      <w:pPr>
        <w:tabs>
          <w:tab w:val="left" w:pos="3380"/>
        </w:tabs>
      </w:pPr>
    </w:p>
    <w:p w14:paraId="4E697846" w14:textId="77777777" w:rsidR="005561B6" w:rsidRDefault="005561B6" w:rsidP="00B02542">
      <w:pPr>
        <w:tabs>
          <w:tab w:val="left" w:pos="3380"/>
        </w:tabs>
      </w:pPr>
    </w:p>
    <w:p w14:paraId="5FAF3E11" w14:textId="77777777" w:rsidR="005561B6" w:rsidRDefault="005561B6" w:rsidP="00B02542">
      <w:pPr>
        <w:tabs>
          <w:tab w:val="left" w:pos="3380"/>
        </w:tabs>
      </w:pPr>
    </w:p>
    <w:p w14:paraId="7BB42C4B" w14:textId="77777777" w:rsidR="005561B6" w:rsidRDefault="005561B6" w:rsidP="00B02542">
      <w:pPr>
        <w:tabs>
          <w:tab w:val="left" w:pos="3380"/>
        </w:tabs>
      </w:pPr>
    </w:p>
    <w:p w14:paraId="06906FA5" w14:textId="77777777" w:rsidR="005561B6" w:rsidRDefault="005561B6" w:rsidP="00B02542">
      <w:pPr>
        <w:tabs>
          <w:tab w:val="left" w:pos="3380"/>
        </w:tabs>
      </w:pPr>
    </w:p>
    <w:p w14:paraId="508D9921" w14:textId="4A144463" w:rsidR="00766ECC" w:rsidRDefault="00766ECC" w:rsidP="00B02542">
      <w:pPr>
        <w:tabs>
          <w:tab w:val="left" w:pos="3380"/>
        </w:tabs>
      </w:pPr>
      <w:r>
        <w:t>institutions equipping them with the practical tools and reflective capacities necessary to engage in transformative gender work?</w:t>
      </w:r>
    </w:p>
    <w:p w14:paraId="633875CE" w14:textId="77777777" w:rsidR="00766ECC" w:rsidRDefault="00766ECC" w:rsidP="00B02542">
      <w:pPr>
        <w:tabs>
          <w:tab w:val="left" w:pos="3380"/>
        </w:tabs>
      </w:pPr>
    </w:p>
    <w:p w14:paraId="080C527B" w14:textId="36A3873E" w:rsidR="00766ECC" w:rsidRDefault="00766ECC" w:rsidP="00B02542">
      <w:pPr>
        <w:tabs>
          <w:tab w:val="left" w:pos="3380"/>
        </w:tabs>
      </w:pPr>
      <w:r>
        <w:t>Further complicating the issue is the presence of systemic and structural barriers</w:t>
      </w:r>
      <w:r w:rsidR="00580DC1">
        <w:t xml:space="preserve"> </w:t>
      </w:r>
      <w:r>
        <w:t>that hinder the development and application of gender competencies. These may include inadequacies in curriculum design, lack of trained faculty, minimal exposure to real-world gender issues during fieldwork, limited interdisciplinary collaboration, and emotional burnout among students due to insufficient support systems. Without addressing these barriers and understanding the lived experiences of students in the field, efforts to enhance gender-responsive practice remain fragmented, inconsistent, and often superficial.</w:t>
      </w:r>
    </w:p>
    <w:p w14:paraId="5BC4E8B6" w14:textId="77777777" w:rsidR="00766ECC" w:rsidRDefault="00766ECC" w:rsidP="00B02542">
      <w:pPr>
        <w:tabs>
          <w:tab w:val="left" w:pos="3380"/>
        </w:tabs>
      </w:pPr>
    </w:p>
    <w:p w14:paraId="2C207884" w14:textId="14D08DF3" w:rsidR="00766ECC" w:rsidRDefault="00766ECC" w:rsidP="00B02542">
      <w:pPr>
        <w:tabs>
          <w:tab w:val="left" w:pos="3380"/>
        </w:tabs>
      </w:pPr>
      <w:r>
        <w:t>This research seeks to bridge this critical knowledge gap by conducting a systematic evaluation of the gender competencies of final-year Master of Social Work (MSW) students under Mahatma Gandhi (MG) University, Kerala. Through an integrated assessment of their awareness, skills, practical engagement, and the challenges they face in applying gender-sensitive interventions, the study aims to generate actionable insights that inform curriculum reform, policy advocacy training, and institutional support mechanisms. By grounding the analysis in real student experiences and aligning it with global competency frameworks like those proposed by UNESCO, the study contributes to a broader goal of professionalizing and strengthening social work education in its response to gender-based challenges.</w:t>
      </w:r>
    </w:p>
    <w:p w14:paraId="74BC3718" w14:textId="77777777" w:rsidR="00766ECC" w:rsidRDefault="00766ECC" w:rsidP="00B02542">
      <w:pPr>
        <w:tabs>
          <w:tab w:val="left" w:pos="3380"/>
        </w:tabs>
      </w:pPr>
    </w:p>
    <w:p w14:paraId="739A7712" w14:textId="77777777" w:rsidR="00766ECC" w:rsidRDefault="00766ECC" w:rsidP="00B02542">
      <w:pPr>
        <w:tabs>
          <w:tab w:val="left" w:pos="3380"/>
        </w:tabs>
      </w:pPr>
      <w:r>
        <w:t>Ultimately, unless the profession of social work is equipped with the tools, understanding, and systemic backing to confront GBV and gender inequality, its transformative potential will remain underutilized. This study is both a diagnostic and a call to action—one that seeks to not only identify gaps but also to illuminate pathways for cultivating a new generation of social workers who are informed, prepared, and empowered to champion gender justice.</w:t>
      </w:r>
    </w:p>
    <w:p w14:paraId="07D6E833" w14:textId="77777777" w:rsidR="00766ECC" w:rsidRPr="00B02542" w:rsidRDefault="00766ECC" w:rsidP="00B02542">
      <w:pPr>
        <w:tabs>
          <w:tab w:val="left" w:pos="3380"/>
        </w:tabs>
      </w:pPr>
    </w:p>
    <w:p w14:paraId="027351C7" w14:textId="77777777" w:rsidR="00FE32DE" w:rsidRDefault="00FE32DE" w:rsidP="00531C01">
      <w:pPr>
        <w:tabs>
          <w:tab w:val="left" w:pos="3380"/>
        </w:tabs>
      </w:pPr>
    </w:p>
    <w:p w14:paraId="5E31B050" w14:textId="77777777" w:rsidR="00531C01" w:rsidRDefault="00531C01" w:rsidP="00531C01">
      <w:pPr>
        <w:tabs>
          <w:tab w:val="left" w:pos="3380"/>
        </w:tabs>
      </w:pPr>
    </w:p>
    <w:p w14:paraId="4A85AC02" w14:textId="77777777" w:rsidR="00580DC1" w:rsidRDefault="00580DC1" w:rsidP="00531C01">
      <w:pPr>
        <w:tabs>
          <w:tab w:val="left" w:pos="3380"/>
        </w:tabs>
      </w:pPr>
    </w:p>
    <w:p w14:paraId="68D0EE1B" w14:textId="77777777" w:rsidR="00580DC1" w:rsidRDefault="00580DC1" w:rsidP="00531C01">
      <w:pPr>
        <w:tabs>
          <w:tab w:val="left" w:pos="3380"/>
        </w:tabs>
      </w:pPr>
    </w:p>
    <w:p w14:paraId="1285E445" w14:textId="77777777" w:rsidR="00580DC1" w:rsidRDefault="00580DC1" w:rsidP="00531C01">
      <w:pPr>
        <w:tabs>
          <w:tab w:val="left" w:pos="3380"/>
        </w:tabs>
      </w:pPr>
    </w:p>
    <w:p w14:paraId="5F3F42DB" w14:textId="77777777" w:rsidR="00580DC1" w:rsidRDefault="00580DC1" w:rsidP="00531C01">
      <w:pPr>
        <w:tabs>
          <w:tab w:val="left" w:pos="3380"/>
        </w:tabs>
      </w:pPr>
    </w:p>
    <w:p w14:paraId="7DEFBAE9" w14:textId="77777777" w:rsidR="00580DC1" w:rsidRDefault="00580DC1" w:rsidP="00531C01">
      <w:pPr>
        <w:tabs>
          <w:tab w:val="left" w:pos="3380"/>
        </w:tabs>
      </w:pPr>
    </w:p>
    <w:p w14:paraId="1A16F91F" w14:textId="77777777" w:rsidR="00531C01" w:rsidRDefault="00531C01" w:rsidP="00531C01">
      <w:pPr>
        <w:tabs>
          <w:tab w:val="left" w:pos="3380"/>
        </w:tabs>
      </w:pPr>
    </w:p>
    <w:p w14:paraId="03B97963" w14:textId="1827B029" w:rsidR="00FB1308" w:rsidRPr="00FE32DE" w:rsidRDefault="00FB1308" w:rsidP="00FE32DE">
      <w:pPr>
        <w:pStyle w:val="ListParagraph"/>
        <w:numPr>
          <w:ilvl w:val="0"/>
          <w:numId w:val="27"/>
        </w:numPr>
        <w:tabs>
          <w:tab w:val="left" w:pos="3380"/>
        </w:tabs>
        <w:rPr>
          <w:b/>
          <w:bCs/>
        </w:rPr>
      </w:pPr>
      <w:r w:rsidRPr="00FE32DE">
        <w:rPr>
          <w:b/>
          <w:bCs/>
        </w:rPr>
        <w:t>SIGNIFICANCE OF THE STUDY</w:t>
      </w:r>
    </w:p>
    <w:p w14:paraId="4E2C5301" w14:textId="0E9849E9" w:rsidR="009E41C1" w:rsidRDefault="009E41C1" w:rsidP="00F3550F">
      <w:pPr>
        <w:tabs>
          <w:tab w:val="left" w:pos="3380"/>
        </w:tabs>
      </w:pPr>
    </w:p>
    <w:p w14:paraId="15793A16" w14:textId="77777777" w:rsidR="009E41C1" w:rsidRDefault="009E41C1" w:rsidP="00F3550F">
      <w:pPr>
        <w:tabs>
          <w:tab w:val="left" w:pos="3380"/>
        </w:tabs>
      </w:pPr>
    </w:p>
    <w:p w14:paraId="66B626F8" w14:textId="0F41D547" w:rsidR="009E41C1" w:rsidRDefault="009E41C1" w:rsidP="00F3550F">
      <w:pPr>
        <w:tabs>
          <w:tab w:val="left" w:pos="3380"/>
        </w:tabs>
      </w:pPr>
      <w:r>
        <w:t>This study carries substantial significance in advancing both the academic understanding and practical implementation of gender-responsive social work education</w:t>
      </w:r>
      <w:r w:rsidR="006C212B">
        <w:t xml:space="preserve"> </w:t>
      </w:r>
      <w:r>
        <w:t>and practice. By systematically assessing the gender competencies</w:t>
      </w:r>
      <w:r w:rsidR="006C212B">
        <w:t xml:space="preserve"> </w:t>
      </w:r>
      <w:r>
        <w:t>comprising knowledge, skills, attitudes, and practices—of final-year Master of Social Work (MSW) students under Mahatma Gandhi (MG) University in Kerala, this research fills a crucial gap in the discourse on professional preparedness for addressing gender-based violence (GBV)</w:t>
      </w:r>
      <w:r w:rsidR="006C212B">
        <w:t xml:space="preserve"> </w:t>
      </w:r>
      <w:r>
        <w:t>and structural inequality.</w:t>
      </w:r>
    </w:p>
    <w:p w14:paraId="7501F525" w14:textId="77777777" w:rsidR="009E41C1" w:rsidRDefault="009E41C1" w:rsidP="00F3550F">
      <w:pPr>
        <w:tabs>
          <w:tab w:val="left" w:pos="3380"/>
        </w:tabs>
      </w:pPr>
    </w:p>
    <w:p w14:paraId="55514C91" w14:textId="22535F8E" w:rsidR="009E41C1" w:rsidRDefault="009E41C1" w:rsidP="00F3550F">
      <w:pPr>
        <w:tabs>
          <w:tab w:val="left" w:pos="3380"/>
        </w:tabs>
      </w:pPr>
      <w:r>
        <w:t>Social workers occupy a uniquely influential position in society, particularly in addressing the needs of marginalized populations and responding to issues of injustice and violence. In contexts where gender inequality remains deeply embedded in cultural, economic, and institutional systems, the ability of social workers to critically engage with and dismantle these structures depends heavily on the depth and quality of their training in gender competencies. The significance of this study lies in its capacity to evaluate how effectively educational institutions are nurturing such competencies in future professionals.</w:t>
      </w:r>
    </w:p>
    <w:p w14:paraId="2AF34340" w14:textId="77777777" w:rsidR="009E41C1" w:rsidRDefault="009E41C1" w:rsidP="00F3550F">
      <w:pPr>
        <w:tabs>
          <w:tab w:val="left" w:pos="3380"/>
        </w:tabs>
      </w:pPr>
    </w:p>
    <w:p w14:paraId="5167A94B" w14:textId="2BB0C3C2" w:rsidR="009E41C1" w:rsidRDefault="009E41C1" w:rsidP="009E41C1">
      <w:pPr>
        <w:pStyle w:val="ListParagraph"/>
        <w:numPr>
          <w:ilvl w:val="0"/>
          <w:numId w:val="27"/>
        </w:numPr>
        <w:tabs>
          <w:tab w:val="left" w:pos="3380"/>
        </w:tabs>
      </w:pPr>
      <w:r w:rsidRPr="00ED5B57">
        <w:rPr>
          <w:b/>
          <w:bCs/>
        </w:rPr>
        <w:t>Curriculum Development:</w:t>
      </w:r>
      <w:r>
        <w:t xml:space="preserve"> By identifying strengths and gaps in the current knowledge base of MSW students</w:t>
      </w:r>
      <w:r w:rsidR="005F5397">
        <w:t xml:space="preserve"> </w:t>
      </w:r>
      <w:r>
        <w:t>especially in emerging areas like intersectionality, digital GBV, and LGBTQ+ inclusion</w:t>
      </w:r>
      <w:r w:rsidR="005F5397">
        <w:t xml:space="preserve"> </w:t>
      </w:r>
      <w:r>
        <w:t>this research can inform the redesign of social work syllabi to reflect a more holistic, contemporary, and rights-based perspective on gender justice.</w:t>
      </w:r>
    </w:p>
    <w:p w14:paraId="10D6812F" w14:textId="77777777" w:rsidR="009E41C1" w:rsidRDefault="009E41C1" w:rsidP="00F3550F">
      <w:pPr>
        <w:tabs>
          <w:tab w:val="left" w:pos="3380"/>
        </w:tabs>
      </w:pPr>
    </w:p>
    <w:p w14:paraId="1026A0E0" w14:textId="232BFD5F" w:rsidR="009E41C1" w:rsidRDefault="009E41C1" w:rsidP="009E41C1">
      <w:pPr>
        <w:pStyle w:val="ListParagraph"/>
        <w:numPr>
          <w:ilvl w:val="0"/>
          <w:numId w:val="27"/>
        </w:numPr>
        <w:tabs>
          <w:tab w:val="left" w:pos="3380"/>
        </w:tabs>
      </w:pPr>
      <w:r w:rsidRPr="00ED5B57">
        <w:rPr>
          <w:b/>
          <w:bCs/>
        </w:rPr>
        <w:t>Field Education and Practicum Models</w:t>
      </w:r>
      <w:r>
        <w:t xml:space="preserve">: Since fieldwork is a cornerstone of social work training, the study will highlight the extent to which students are prepared to apply gender-sensitive approaches in real-world settings. It will also illuminate areas where </w:t>
      </w:r>
      <w:r>
        <w:lastRenderedPageBreak/>
        <w:t>supervision, safety, and contextual sensitivity</w:t>
      </w:r>
      <w:r w:rsidR="00ED5B57">
        <w:t xml:space="preserve"> </w:t>
      </w:r>
      <w:r>
        <w:t>need enhancement, especially when dealing with survivors of violence and culturally resistant communities.</w:t>
      </w:r>
    </w:p>
    <w:p w14:paraId="5E5660DB" w14:textId="77777777" w:rsidR="009E41C1" w:rsidRDefault="009E41C1" w:rsidP="009E41C1">
      <w:pPr>
        <w:pStyle w:val="ListParagraph"/>
      </w:pPr>
    </w:p>
    <w:p w14:paraId="34F658B7" w14:textId="77777777" w:rsidR="009E41C1" w:rsidRDefault="009E41C1" w:rsidP="00F3550F">
      <w:pPr>
        <w:tabs>
          <w:tab w:val="left" w:pos="3380"/>
        </w:tabs>
      </w:pPr>
    </w:p>
    <w:p w14:paraId="69B625D1" w14:textId="6DA08450" w:rsidR="009E41C1" w:rsidRDefault="009E41C1" w:rsidP="009E41C1">
      <w:pPr>
        <w:pStyle w:val="ListParagraph"/>
        <w:numPr>
          <w:ilvl w:val="0"/>
          <w:numId w:val="27"/>
        </w:numPr>
        <w:tabs>
          <w:tab w:val="left" w:pos="3380"/>
        </w:tabs>
      </w:pPr>
      <w:r w:rsidRPr="00396725">
        <w:rPr>
          <w:b/>
          <w:bCs/>
        </w:rPr>
        <w:t>Institutional Capacity Building</w:t>
      </w:r>
      <w:r>
        <w:t>: By exposing barriers such as inadequate mentoring, emotional strain, or weak academic-agency partnerships, the study points toward the need for stronger institutional frameworks. These include trauma-informed supervision, structured emotional support systems, and multisectoral collaboration between universities, NGOs, and government agencies.</w:t>
      </w:r>
    </w:p>
    <w:p w14:paraId="0BD5ABC1" w14:textId="77777777" w:rsidR="009E41C1" w:rsidRDefault="009E41C1" w:rsidP="00F3550F">
      <w:pPr>
        <w:tabs>
          <w:tab w:val="left" w:pos="3380"/>
        </w:tabs>
      </w:pPr>
    </w:p>
    <w:p w14:paraId="1F2AC303" w14:textId="793E020C" w:rsidR="009E41C1" w:rsidRDefault="009E41C1" w:rsidP="009E41C1">
      <w:pPr>
        <w:pStyle w:val="ListParagraph"/>
        <w:numPr>
          <w:ilvl w:val="0"/>
          <w:numId w:val="27"/>
        </w:numPr>
        <w:tabs>
          <w:tab w:val="left" w:pos="3380"/>
        </w:tabs>
      </w:pPr>
      <w:r w:rsidRPr="00525492">
        <w:rPr>
          <w:b/>
          <w:bCs/>
        </w:rPr>
        <w:t>Policy-Level Implications</w:t>
      </w:r>
      <w:r>
        <w:t>: The research emphasizes that MSW students view GBV as a systemic issue requiring structural reform. This reinforces the importance of integrating advocacy training and policy engagement into professional education—ensuring that graduates are not only service providers but also strategic actors capable of influencing institutional and legislative change.</w:t>
      </w:r>
    </w:p>
    <w:p w14:paraId="2FFEB40D" w14:textId="77777777" w:rsidR="009E41C1" w:rsidRDefault="009E41C1" w:rsidP="009E41C1">
      <w:pPr>
        <w:pStyle w:val="ListParagraph"/>
      </w:pPr>
    </w:p>
    <w:p w14:paraId="468810E6" w14:textId="77777777" w:rsidR="009E41C1" w:rsidRDefault="009E41C1" w:rsidP="00F3550F">
      <w:pPr>
        <w:tabs>
          <w:tab w:val="left" w:pos="3380"/>
        </w:tabs>
      </w:pPr>
    </w:p>
    <w:p w14:paraId="3BB764B9" w14:textId="77777777" w:rsidR="003466D8" w:rsidRDefault="009E41C1" w:rsidP="00F3550F">
      <w:pPr>
        <w:tabs>
          <w:tab w:val="left" w:pos="3380"/>
        </w:tabs>
      </w:pPr>
      <w:r>
        <w:t>Beyond MG University and the regional context of Kerala, this study contributes to broader national and global debates on the future of social work education in the 21</w:t>
      </w:r>
      <w:r w:rsidRPr="009E41C1">
        <w:rPr>
          <w:vertAlign w:val="superscript"/>
        </w:rPr>
        <w:t>st</w:t>
      </w:r>
      <w:r>
        <w:t xml:space="preserve"> century. It aligns with international frameworks such as the UNESCO Gender Competency Model, CEDAW, and SDG 5, reaffirming the need to produce ethically grounded, practically prepared, and critically aware social work professionals. The Kerala context, known for its paradoxical mix of high social development indicators and persistent gender challenges, provides a valuable case study for other Indian states and Global South regions seeking to strengthen their social workforce.</w:t>
      </w:r>
      <w:r w:rsidR="003466D8">
        <w:t xml:space="preserve"> </w:t>
      </w:r>
    </w:p>
    <w:p w14:paraId="125A4BD3" w14:textId="0E78E6D1" w:rsidR="009E41C1" w:rsidRDefault="003466D8" w:rsidP="00F3550F">
      <w:pPr>
        <w:tabs>
          <w:tab w:val="left" w:pos="3380"/>
        </w:tabs>
      </w:pPr>
      <w:r>
        <w:t xml:space="preserve">                  </w:t>
      </w:r>
      <w:r w:rsidR="009E41C1">
        <w:t>it provides a diagnostic assessment of the current state of gender competence in social work training, and it offers a transformative vision for enhancing professional readiness in ways that are culturally grounded, ethically informed, and globally relevant. By doing so, it advances the cause of gender justice not only as a theoretical goal but as a lived reality shaped by education, practice, and advocacy.</w:t>
      </w:r>
    </w:p>
    <w:p w14:paraId="2D1B9626" w14:textId="77777777" w:rsidR="009E41C1" w:rsidRPr="00F3550F" w:rsidRDefault="009E41C1" w:rsidP="00F3550F">
      <w:pPr>
        <w:tabs>
          <w:tab w:val="left" w:pos="3380"/>
        </w:tabs>
      </w:pPr>
    </w:p>
    <w:p w14:paraId="620A6CE4" w14:textId="77777777" w:rsidR="005E505F" w:rsidRDefault="005E505F" w:rsidP="00CE10A0">
      <w:pPr>
        <w:tabs>
          <w:tab w:val="left" w:pos="3380"/>
        </w:tabs>
      </w:pPr>
    </w:p>
    <w:p w14:paraId="103DD81C" w14:textId="77777777" w:rsidR="00FE32DE" w:rsidRDefault="00FE32DE" w:rsidP="00CE10A0">
      <w:pPr>
        <w:tabs>
          <w:tab w:val="left" w:pos="3380"/>
        </w:tabs>
      </w:pPr>
    </w:p>
    <w:p w14:paraId="06C5B305" w14:textId="77777777" w:rsidR="00FE32DE" w:rsidRDefault="00FE32DE" w:rsidP="00CE10A0">
      <w:pPr>
        <w:tabs>
          <w:tab w:val="left" w:pos="3380"/>
        </w:tabs>
      </w:pPr>
    </w:p>
    <w:p w14:paraId="403F8E7F" w14:textId="77777777" w:rsidR="00FE32DE" w:rsidRDefault="00FE32DE" w:rsidP="00CE10A0">
      <w:pPr>
        <w:tabs>
          <w:tab w:val="left" w:pos="3380"/>
        </w:tabs>
      </w:pPr>
    </w:p>
    <w:p w14:paraId="2644AD77" w14:textId="77777777" w:rsidR="00184860" w:rsidRDefault="00184860" w:rsidP="00CE10A0">
      <w:pPr>
        <w:tabs>
          <w:tab w:val="left" w:pos="3380"/>
        </w:tabs>
      </w:pPr>
    </w:p>
    <w:p w14:paraId="5175BE85" w14:textId="77777777" w:rsidR="00184860" w:rsidRDefault="00184860" w:rsidP="00CE10A0">
      <w:pPr>
        <w:tabs>
          <w:tab w:val="left" w:pos="3380"/>
        </w:tabs>
      </w:pPr>
    </w:p>
    <w:p w14:paraId="08C3FF75" w14:textId="7942828B" w:rsidR="00726163" w:rsidRDefault="00726163" w:rsidP="00CE10A0">
      <w:pPr>
        <w:tabs>
          <w:tab w:val="left" w:pos="3380"/>
        </w:tabs>
        <w:rPr>
          <w:b/>
          <w:bCs/>
        </w:rPr>
      </w:pPr>
      <w:r w:rsidRPr="00240C0A">
        <w:rPr>
          <w:b/>
          <w:bCs/>
        </w:rPr>
        <w:t>AIM OF THE STUDY</w:t>
      </w:r>
    </w:p>
    <w:p w14:paraId="273513EB" w14:textId="76985ED3" w:rsidR="00E41100" w:rsidRDefault="00E41100" w:rsidP="00CE10A0">
      <w:pPr>
        <w:tabs>
          <w:tab w:val="left" w:pos="3380"/>
        </w:tabs>
      </w:pPr>
    </w:p>
    <w:p w14:paraId="3A49F13E" w14:textId="77777777" w:rsidR="00E41100" w:rsidRDefault="00E41100" w:rsidP="00CE10A0">
      <w:pPr>
        <w:tabs>
          <w:tab w:val="left" w:pos="3380"/>
        </w:tabs>
      </w:pPr>
    </w:p>
    <w:p w14:paraId="41B8AD51" w14:textId="702753A1" w:rsidR="00E41100" w:rsidRDefault="00E41100" w:rsidP="00CE10A0">
      <w:pPr>
        <w:tabs>
          <w:tab w:val="left" w:pos="3380"/>
        </w:tabs>
      </w:pPr>
      <w:r>
        <w:t>The primary aim of this study is to critically evaluate the gender competencies of final-year Master of Social Work (MSW) students enrolled in colleges affiliated with Mahatma Gandhi (MG) University, Kerala, with the objective of assessing their preparedness to engage effectively with gender-based inequalities and violence (GBV) in a variety of professional and community-based settings. This research focuses on the intersection of academic training and field-level application, recognizing that the ability of future social workers to promote gender justice is contingent on a well-rounded blend of theoretical understanding, practical skill, ethical awareness, and real-world readiness.</w:t>
      </w:r>
    </w:p>
    <w:p w14:paraId="2D5221CD" w14:textId="56948D95" w:rsidR="00E41100" w:rsidRPr="005B36D0" w:rsidRDefault="00E41100" w:rsidP="00CE10A0">
      <w:pPr>
        <w:tabs>
          <w:tab w:val="left" w:pos="3380"/>
        </w:tabs>
        <w:rPr>
          <w:b/>
          <w:bCs/>
        </w:rPr>
      </w:pPr>
    </w:p>
    <w:p w14:paraId="43AC18B3" w14:textId="0EF8AB33" w:rsidR="00E41100" w:rsidRDefault="00E41100" w:rsidP="00CE10A0">
      <w:pPr>
        <w:tabs>
          <w:tab w:val="left" w:pos="3380"/>
        </w:tabs>
      </w:pPr>
      <w:r w:rsidRPr="005B36D0">
        <w:rPr>
          <w:b/>
          <w:bCs/>
        </w:rPr>
        <w:t>Measure the depth of knowledge</w:t>
      </w:r>
      <w:r w:rsidR="002219B7">
        <w:t xml:space="preserve"> </w:t>
      </w:r>
      <w:r>
        <w:t>students possess about key gender concepts, including feminist and intersectional theories, human rights frameworks, and relevant national and international laws such as the Protection of Women from Domestic Violence Act (PWDVA), the POSH Act, and CEDAW.</w:t>
      </w:r>
    </w:p>
    <w:p w14:paraId="3C3C5728" w14:textId="6C4D27AC" w:rsidR="00E41100" w:rsidRDefault="00E41100" w:rsidP="00CE10A0">
      <w:pPr>
        <w:tabs>
          <w:tab w:val="left" w:pos="3380"/>
        </w:tabs>
      </w:pPr>
      <w:r w:rsidRPr="005B36D0">
        <w:rPr>
          <w:b/>
          <w:bCs/>
        </w:rPr>
        <w:t>Assess the practical skill</w:t>
      </w:r>
      <w:r>
        <w:t>s</w:t>
      </w:r>
      <w:r w:rsidR="005B36D0">
        <w:t xml:space="preserve"> </w:t>
      </w:r>
      <w:r>
        <w:t>students have developed to implement gender-sensitive interventions in the field, including counseling survivors, facilitating community awareness, conducting needs assessments, and navigating multidisciplinary service systems.</w:t>
      </w:r>
    </w:p>
    <w:p w14:paraId="71E861FC" w14:textId="462489EE" w:rsidR="00E41100" w:rsidRDefault="00E41100" w:rsidP="00CE10A0">
      <w:pPr>
        <w:tabs>
          <w:tab w:val="left" w:pos="3380"/>
        </w:tabs>
      </w:pPr>
      <w:r w:rsidRPr="005B36D0">
        <w:rPr>
          <w:b/>
          <w:bCs/>
        </w:rPr>
        <w:t>Evaluate the attitudes and ethical orientations</w:t>
      </w:r>
      <w:r>
        <w:t xml:space="preserve"> of students regarding gender-based issues, particularly their ability to uphold values of inclusivity, dignity, non-discrimination, and trauma-informed care when working with diverse populations.</w:t>
      </w:r>
    </w:p>
    <w:p w14:paraId="7B03F32F" w14:textId="1F2A6963" w:rsidR="00E41100" w:rsidRDefault="00E41100" w:rsidP="00CE10A0">
      <w:pPr>
        <w:tabs>
          <w:tab w:val="left" w:pos="3380"/>
        </w:tabs>
      </w:pPr>
      <w:r w:rsidRPr="006078AC">
        <w:rPr>
          <w:b/>
          <w:bCs/>
        </w:rPr>
        <w:t>Examine the level of field-readiness,</w:t>
      </w:r>
      <w:r>
        <w:t xml:space="preserve"> analyzing how prepared students feel—and actually are</w:t>
      </w:r>
      <w:r w:rsidR="006078AC">
        <w:t xml:space="preserve"> </w:t>
      </w:r>
      <w:r>
        <w:t>to deal with real-world challenges such as community resistance, institutional barriers, emotional burnout, and culturally sensitive ethical dilemmas.</w:t>
      </w:r>
    </w:p>
    <w:p w14:paraId="61954ED4" w14:textId="77777777" w:rsidR="00E41100" w:rsidRDefault="00E41100" w:rsidP="00CE10A0">
      <w:pPr>
        <w:tabs>
          <w:tab w:val="left" w:pos="3380"/>
        </w:tabs>
      </w:pPr>
    </w:p>
    <w:p w14:paraId="37FE057D" w14:textId="0BC8B7ED" w:rsidR="00E41100" w:rsidRDefault="00E41100" w:rsidP="00CE10A0">
      <w:pPr>
        <w:tabs>
          <w:tab w:val="left" w:pos="3380"/>
        </w:tabs>
      </w:pPr>
      <w:r>
        <w:t>Through this comprehensive evaluation, the study aims not only to document the existing strengths of MSW students but also to uncover critical training gaps, inconsistencies in supervision and curriculum delivery, and systemic or institutional challenges</w:t>
      </w:r>
      <w:r w:rsidR="00A650EB">
        <w:t xml:space="preserve"> </w:t>
      </w:r>
      <w:r>
        <w:t xml:space="preserve"> that may hinder their ability to translate classroom learning into effective practice. This includes exploring factors such as insufficient gender-focused content in syllabi, lack of structured mentorship </w:t>
      </w:r>
      <w:r>
        <w:lastRenderedPageBreak/>
        <w:t>during field placements, and limited exposure to interdisciplinary collaboration or policy-level engagement.</w:t>
      </w:r>
    </w:p>
    <w:p w14:paraId="27256A86" w14:textId="77777777" w:rsidR="00E41100" w:rsidRDefault="00E41100" w:rsidP="00CE10A0">
      <w:pPr>
        <w:tabs>
          <w:tab w:val="left" w:pos="3380"/>
        </w:tabs>
      </w:pPr>
    </w:p>
    <w:p w14:paraId="022787B7" w14:textId="40FBD7C7" w:rsidR="00D96ED5" w:rsidRDefault="00E41100" w:rsidP="00CE10A0">
      <w:pPr>
        <w:tabs>
          <w:tab w:val="left" w:pos="3380"/>
        </w:tabs>
      </w:pPr>
      <w:r>
        <w:t xml:space="preserve">Ultimately, the objective of this research is to generate </w:t>
      </w:r>
      <w:r w:rsidR="00A650EB">
        <w:t xml:space="preserve"> </w:t>
      </w:r>
      <w:r>
        <w:t>empirically grounded insights</w:t>
      </w:r>
      <w:r w:rsidR="00A650EB">
        <w:t xml:space="preserve"> </w:t>
      </w:r>
      <w:r>
        <w:t xml:space="preserve"> that can inform the development of more robust, gender-responsive social work education models. </w:t>
      </w:r>
    </w:p>
    <w:p w14:paraId="461CA8E4" w14:textId="77777777" w:rsidR="00E41100" w:rsidRDefault="00E41100" w:rsidP="00CE10A0">
      <w:pPr>
        <w:tabs>
          <w:tab w:val="left" w:pos="3380"/>
        </w:tabs>
      </w:pPr>
    </w:p>
    <w:p w14:paraId="54881668" w14:textId="085D26FD" w:rsidR="00E41100" w:rsidRDefault="00E41100" w:rsidP="00CE10A0">
      <w:pPr>
        <w:tabs>
          <w:tab w:val="left" w:pos="3380"/>
        </w:tabs>
      </w:pPr>
      <w:r w:rsidRPr="009771C0">
        <w:rPr>
          <w:b/>
          <w:bCs/>
        </w:rPr>
        <w:t>Curriculum enhancement,</w:t>
      </w:r>
      <w:r>
        <w:t xml:space="preserve"> through the integration of practical modules on trauma-informed care, GBV case management, and policy advocacy.</w:t>
      </w:r>
    </w:p>
    <w:p w14:paraId="03D07CFC" w14:textId="22C53C2B" w:rsidR="00E41100" w:rsidRDefault="00E41100" w:rsidP="00CE10A0">
      <w:pPr>
        <w:tabs>
          <w:tab w:val="left" w:pos="3380"/>
        </w:tabs>
      </w:pPr>
      <w:r w:rsidRPr="002C01F6">
        <w:rPr>
          <w:b/>
          <w:bCs/>
        </w:rPr>
        <w:t>Improved fieldwork supervision</w:t>
      </w:r>
      <w:r>
        <w:t>, with emphasis on structured learning objectives, emotional support, and ethical guidance.</w:t>
      </w:r>
    </w:p>
    <w:p w14:paraId="705783EB" w14:textId="4F0B1850" w:rsidR="00E41100" w:rsidRDefault="00E41100" w:rsidP="00CE10A0">
      <w:pPr>
        <w:tabs>
          <w:tab w:val="left" w:pos="3380"/>
        </w:tabs>
      </w:pPr>
      <w:r w:rsidRPr="002C01F6">
        <w:rPr>
          <w:b/>
          <w:bCs/>
        </w:rPr>
        <w:t xml:space="preserve">Policy reform and institutional capacity-building, </w:t>
      </w:r>
      <w:r>
        <w:t>enabling universities, NGOs, and social work councils to better prepare students for the multidimensional realities of gender-based social work.</w:t>
      </w:r>
    </w:p>
    <w:p w14:paraId="3E756B35" w14:textId="77777777" w:rsidR="00484904" w:rsidRDefault="00484904" w:rsidP="00CE10A0">
      <w:pPr>
        <w:tabs>
          <w:tab w:val="left" w:pos="3380"/>
        </w:tabs>
      </w:pPr>
    </w:p>
    <w:p w14:paraId="310CD146" w14:textId="4974CAEB" w:rsidR="00E41100" w:rsidRDefault="00E41100" w:rsidP="00CE10A0">
      <w:pPr>
        <w:tabs>
          <w:tab w:val="left" w:pos="3380"/>
        </w:tabs>
      </w:pPr>
      <w:r>
        <w:t xml:space="preserve"> </w:t>
      </w:r>
      <w:r w:rsidR="00484904">
        <w:t>T</w:t>
      </w:r>
      <w:r>
        <w:t xml:space="preserve">he study seeks to support the creation of a new generation of social </w:t>
      </w:r>
      <w:proofErr w:type="gramStart"/>
      <w:r>
        <w:t>workers</w:t>
      </w:r>
      <w:r w:rsidR="00484904">
        <w:t xml:space="preserve"> </w:t>
      </w:r>
      <w:r>
        <w:t xml:space="preserve"> who</w:t>
      </w:r>
      <w:proofErr w:type="gramEnd"/>
      <w:r>
        <w:t xml:space="preserve"> are not only competent and confident, but also ethically grounded and socially transformative in their approach to promoting gender equality and social justice</w:t>
      </w:r>
      <w:r w:rsidR="00484904">
        <w:t xml:space="preserve"> </w:t>
      </w:r>
      <w:r>
        <w:t>in Kerala and in broader national and global contexts.</w:t>
      </w:r>
    </w:p>
    <w:p w14:paraId="53C53D26" w14:textId="77777777" w:rsidR="00E41100" w:rsidRPr="00F43CD3" w:rsidRDefault="00E41100" w:rsidP="00CE10A0">
      <w:pPr>
        <w:tabs>
          <w:tab w:val="left" w:pos="3380"/>
        </w:tabs>
      </w:pPr>
    </w:p>
    <w:p w14:paraId="345F683E" w14:textId="77777777" w:rsidR="00FE32DE" w:rsidRDefault="00FE32DE" w:rsidP="00CE10A0">
      <w:pPr>
        <w:tabs>
          <w:tab w:val="left" w:pos="3380"/>
        </w:tabs>
        <w:rPr>
          <w:b/>
          <w:bCs/>
        </w:rPr>
      </w:pPr>
    </w:p>
    <w:p w14:paraId="628D5930" w14:textId="77777777" w:rsidR="00FE32DE" w:rsidRPr="00F43CD3" w:rsidRDefault="00FE32DE" w:rsidP="00CE10A0">
      <w:pPr>
        <w:tabs>
          <w:tab w:val="left" w:pos="3380"/>
        </w:tabs>
        <w:rPr>
          <w:b/>
          <w:bCs/>
        </w:rPr>
      </w:pPr>
    </w:p>
    <w:p w14:paraId="4666FA04" w14:textId="2EBA3E74" w:rsidR="00726163" w:rsidRDefault="00726163" w:rsidP="00CE10A0">
      <w:pPr>
        <w:tabs>
          <w:tab w:val="left" w:pos="3380"/>
        </w:tabs>
        <w:rPr>
          <w:b/>
          <w:bCs/>
        </w:rPr>
      </w:pPr>
      <w:r w:rsidRPr="005049D8">
        <w:rPr>
          <w:b/>
          <w:bCs/>
        </w:rPr>
        <w:t>RESEARCH OBJECTIVES</w:t>
      </w:r>
    </w:p>
    <w:p w14:paraId="771FDD28" w14:textId="77777777" w:rsidR="001F09B1" w:rsidRPr="005049D8" w:rsidRDefault="001F09B1" w:rsidP="00CE10A0">
      <w:pPr>
        <w:tabs>
          <w:tab w:val="left" w:pos="3380"/>
        </w:tabs>
        <w:rPr>
          <w:b/>
          <w:bCs/>
        </w:rPr>
      </w:pPr>
    </w:p>
    <w:p w14:paraId="3FF44471" w14:textId="3161E23D" w:rsidR="005A201A" w:rsidRPr="00FE32DE" w:rsidRDefault="005A201A" w:rsidP="00CE10A0">
      <w:pPr>
        <w:tabs>
          <w:tab w:val="left" w:pos="3380"/>
        </w:tabs>
        <w:rPr>
          <w:b/>
          <w:bCs/>
        </w:rPr>
      </w:pPr>
      <w:r>
        <w:t xml:space="preserve">    </w:t>
      </w:r>
      <w:r w:rsidRPr="00FE32DE">
        <w:rPr>
          <w:b/>
          <w:bCs/>
        </w:rPr>
        <w:t>General objectives</w:t>
      </w:r>
    </w:p>
    <w:p w14:paraId="0760BA43" w14:textId="3E30A9B8" w:rsidR="00461AC4" w:rsidRDefault="00CE3B5D" w:rsidP="00CE10A0">
      <w:pPr>
        <w:pStyle w:val="ListParagraph"/>
        <w:numPr>
          <w:ilvl w:val="0"/>
          <w:numId w:val="15"/>
        </w:numPr>
        <w:tabs>
          <w:tab w:val="left" w:pos="3380"/>
        </w:tabs>
      </w:pPr>
      <w:r>
        <w:t>To evaluate the gender competencies of social workers in addressing gender specific issues, promoting human rights</w:t>
      </w:r>
      <w:r w:rsidR="00B719D4">
        <w:t xml:space="preserve">, and preventing gender-based violence, with </w:t>
      </w:r>
      <w:r w:rsidR="00A576DE">
        <w:t>a focus on their knowledge, skill, attitudes,</w:t>
      </w:r>
      <w:r w:rsidR="00B14CA9">
        <w:t xml:space="preserve"> and professional practice.</w:t>
      </w:r>
    </w:p>
    <w:p w14:paraId="0FE08AF4" w14:textId="6309A866" w:rsidR="005A201A" w:rsidRPr="00FE32DE" w:rsidRDefault="005A201A" w:rsidP="00CE10A0">
      <w:pPr>
        <w:tabs>
          <w:tab w:val="left" w:pos="3380"/>
        </w:tabs>
        <w:rPr>
          <w:b/>
          <w:bCs/>
        </w:rPr>
      </w:pPr>
      <w:r>
        <w:t xml:space="preserve">    </w:t>
      </w:r>
      <w:r w:rsidR="00FE32DE" w:rsidRPr="00FE32DE">
        <w:rPr>
          <w:b/>
          <w:bCs/>
        </w:rPr>
        <w:t>S</w:t>
      </w:r>
      <w:r w:rsidR="00C55F55" w:rsidRPr="00FE32DE">
        <w:rPr>
          <w:b/>
          <w:bCs/>
        </w:rPr>
        <w:t>pecific objectives</w:t>
      </w:r>
    </w:p>
    <w:p w14:paraId="56AFBAA8" w14:textId="4AFAA300" w:rsidR="0039402A" w:rsidRDefault="0039402A" w:rsidP="0039402A">
      <w:pPr>
        <w:pStyle w:val="ListParagraph"/>
        <w:numPr>
          <w:ilvl w:val="0"/>
          <w:numId w:val="16"/>
        </w:numPr>
        <w:tabs>
          <w:tab w:val="left" w:pos="3380"/>
        </w:tabs>
      </w:pPr>
      <w:r>
        <w:t xml:space="preserve">To analysis the knowledge, skills, and attitudes of social workers regarding </w:t>
      </w:r>
      <w:proofErr w:type="gramStart"/>
      <w:r>
        <w:t xml:space="preserve">gender </w:t>
      </w:r>
      <w:r w:rsidR="00A31B3C">
        <w:t xml:space="preserve"> specific</w:t>
      </w:r>
      <w:proofErr w:type="gramEnd"/>
      <w:r w:rsidR="00A31B3C">
        <w:t xml:space="preserve"> challenges and inequalities.</w:t>
      </w:r>
    </w:p>
    <w:p w14:paraId="1B338581" w14:textId="465383D3" w:rsidR="00A31B3C" w:rsidRDefault="00A31B3C" w:rsidP="0039402A">
      <w:pPr>
        <w:pStyle w:val="ListParagraph"/>
        <w:numPr>
          <w:ilvl w:val="0"/>
          <w:numId w:val="16"/>
        </w:numPr>
        <w:tabs>
          <w:tab w:val="left" w:pos="3380"/>
        </w:tabs>
      </w:pPr>
      <w:r>
        <w:t xml:space="preserve">To explore social worker’s perception on </w:t>
      </w:r>
      <w:proofErr w:type="gramStart"/>
      <w:r>
        <w:t>gender based</w:t>
      </w:r>
      <w:proofErr w:type="gramEnd"/>
      <w:r>
        <w:t xml:space="preserve"> violence.</w:t>
      </w:r>
    </w:p>
    <w:p w14:paraId="4FCC2E13" w14:textId="522BCE48" w:rsidR="000144AA" w:rsidRPr="00531C01" w:rsidRDefault="000A2F1A" w:rsidP="00CE10A0">
      <w:pPr>
        <w:pStyle w:val="ListParagraph"/>
        <w:numPr>
          <w:ilvl w:val="0"/>
          <w:numId w:val="16"/>
        </w:numPr>
        <w:tabs>
          <w:tab w:val="left" w:pos="3380"/>
        </w:tabs>
      </w:pPr>
      <w:r>
        <w:t xml:space="preserve">To identity gaps in training and resources for social </w:t>
      </w:r>
      <w:proofErr w:type="gramStart"/>
      <w:r>
        <w:t>worker’s</w:t>
      </w:r>
      <w:proofErr w:type="gramEnd"/>
      <w:r>
        <w:t xml:space="preserve"> to develop gender competencies.</w:t>
      </w:r>
    </w:p>
    <w:p w14:paraId="2EE5BAB5" w14:textId="77777777" w:rsidR="000144AA" w:rsidRDefault="000144AA" w:rsidP="00CE10A0">
      <w:pPr>
        <w:tabs>
          <w:tab w:val="left" w:pos="3380"/>
        </w:tabs>
        <w:rPr>
          <w:b/>
          <w:bCs/>
        </w:rPr>
      </w:pPr>
    </w:p>
    <w:p w14:paraId="2FF6E48D" w14:textId="77777777" w:rsidR="004D1AE0" w:rsidRDefault="004D1AE0" w:rsidP="00CE10A0">
      <w:pPr>
        <w:tabs>
          <w:tab w:val="left" w:pos="3380"/>
        </w:tabs>
        <w:rPr>
          <w:b/>
          <w:bCs/>
        </w:rPr>
      </w:pPr>
    </w:p>
    <w:p w14:paraId="09B46E92" w14:textId="77777777" w:rsidR="004D1AE0" w:rsidRDefault="004D1AE0" w:rsidP="00CE10A0">
      <w:pPr>
        <w:tabs>
          <w:tab w:val="left" w:pos="3380"/>
        </w:tabs>
        <w:rPr>
          <w:b/>
          <w:bCs/>
        </w:rPr>
      </w:pPr>
    </w:p>
    <w:p w14:paraId="7E4C5E56" w14:textId="77777777" w:rsidR="004D1AE0" w:rsidRDefault="004D1AE0" w:rsidP="00CE10A0">
      <w:pPr>
        <w:tabs>
          <w:tab w:val="left" w:pos="3380"/>
        </w:tabs>
        <w:rPr>
          <w:b/>
          <w:bCs/>
        </w:rPr>
      </w:pPr>
    </w:p>
    <w:p w14:paraId="79FA7BEB" w14:textId="77777777" w:rsidR="004D1AE0" w:rsidRDefault="004D1AE0" w:rsidP="00CE10A0">
      <w:pPr>
        <w:tabs>
          <w:tab w:val="left" w:pos="3380"/>
        </w:tabs>
        <w:rPr>
          <w:b/>
          <w:bCs/>
        </w:rPr>
      </w:pPr>
    </w:p>
    <w:p w14:paraId="18C3A42D" w14:textId="77777777" w:rsidR="004D1AE0" w:rsidRDefault="004D1AE0" w:rsidP="00CE10A0">
      <w:pPr>
        <w:tabs>
          <w:tab w:val="left" w:pos="3380"/>
        </w:tabs>
        <w:rPr>
          <w:b/>
          <w:bCs/>
        </w:rPr>
      </w:pPr>
    </w:p>
    <w:p w14:paraId="47EBFEA3" w14:textId="77777777" w:rsidR="000144AA" w:rsidRDefault="000144AA" w:rsidP="00CE10A0">
      <w:pPr>
        <w:tabs>
          <w:tab w:val="left" w:pos="3380"/>
        </w:tabs>
        <w:rPr>
          <w:b/>
          <w:bCs/>
        </w:rPr>
      </w:pPr>
      <w:r>
        <w:rPr>
          <w:b/>
          <w:bCs/>
        </w:rPr>
        <w:t>DEFINITION OF CONCEPTS</w:t>
      </w:r>
    </w:p>
    <w:p w14:paraId="43947EF8" w14:textId="77777777" w:rsidR="000144AA" w:rsidRDefault="000144AA" w:rsidP="00CE10A0">
      <w:pPr>
        <w:tabs>
          <w:tab w:val="left" w:pos="3380"/>
        </w:tabs>
        <w:rPr>
          <w:b/>
          <w:bCs/>
        </w:rPr>
      </w:pPr>
    </w:p>
    <w:p w14:paraId="32D7BC12" w14:textId="77777777" w:rsidR="000144AA" w:rsidRDefault="000144AA" w:rsidP="00CE10A0">
      <w:pPr>
        <w:tabs>
          <w:tab w:val="left" w:pos="3380"/>
        </w:tabs>
        <w:rPr>
          <w:b/>
          <w:bCs/>
        </w:rPr>
      </w:pPr>
      <w:r>
        <w:rPr>
          <w:b/>
          <w:bCs/>
        </w:rPr>
        <w:t xml:space="preserve"> Theoretical Definitions</w:t>
      </w:r>
    </w:p>
    <w:p w14:paraId="1956DF6D" w14:textId="77777777" w:rsidR="000144AA" w:rsidRDefault="000144AA" w:rsidP="00CE10A0">
      <w:pPr>
        <w:tabs>
          <w:tab w:val="left" w:pos="3380"/>
        </w:tabs>
        <w:rPr>
          <w:b/>
          <w:bCs/>
        </w:rPr>
      </w:pPr>
    </w:p>
    <w:p w14:paraId="34C606C1" w14:textId="40BD9127" w:rsidR="000144AA" w:rsidRPr="000144AA" w:rsidRDefault="000144AA" w:rsidP="000144AA">
      <w:pPr>
        <w:pStyle w:val="ListParagraph"/>
        <w:numPr>
          <w:ilvl w:val="0"/>
          <w:numId w:val="15"/>
        </w:numPr>
        <w:tabs>
          <w:tab w:val="left" w:pos="3380"/>
        </w:tabs>
      </w:pPr>
      <w:r w:rsidRPr="000144AA">
        <w:t>A set of knowledge, skills, attitudes, and beliefs essential for addressing gender specific issues, promoting equality, and preventing gender-based violence.</w:t>
      </w:r>
    </w:p>
    <w:p w14:paraId="2BFDEFC2" w14:textId="77777777" w:rsidR="000144AA" w:rsidRPr="000144AA" w:rsidRDefault="000144AA" w:rsidP="00CE10A0">
      <w:pPr>
        <w:tabs>
          <w:tab w:val="left" w:pos="3380"/>
        </w:tabs>
      </w:pPr>
    </w:p>
    <w:p w14:paraId="47E3B08E" w14:textId="01C6CB17" w:rsidR="000144AA" w:rsidRPr="000144AA" w:rsidRDefault="000144AA" w:rsidP="000144AA">
      <w:pPr>
        <w:pStyle w:val="ListParagraph"/>
        <w:numPr>
          <w:ilvl w:val="0"/>
          <w:numId w:val="15"/>
        </w:numPr>
        <w:tabs>
          <w:tab w:val="left" w:pos="3380"/>
        </w:tabs>
      </w:pPr>
      <w:r w:rsidRPr="000144AA">
        <w:t>Any act of violence directed at an individual based on their gender encompassing physical, sexual, emotional, or economic harm.</w:t>
      </w:r>
    </w:p>
    <w:p w14:paraId="04F91194" w14:textId="77777777" w:rsidR="000144AA" w:rsidRPr="000144AA" w:rsidRDefault="000144AA" w:rsidP="00CE10A0">
      <w:pPr>
        <w:tabs>
          <w:tab w:val="left" w:pos="3380"/>
        </w:tabs>
      </w:pPr>
    </w:p>
    <w:p w14:paraId="62241402" w14:textId="09D857FD" w:rsidR="000144AA" w:rsidRPr="000144AA" w:rsidRDefault="000144AA" w:rsidP="000144AA">
      <w:pPr>
        <w:pStyle w:val="ListParagraph"/>
        <w:numPr>
          <w:ilvl w:val="0"/>
          <w:numId w:val="15"/>
        </w:numPr>
        <w:tabs>
          <w:tab w:val="left" w:pos="3380"/>
        </w:tabs>
      </w:pPr>
      <w:r w:rsidRPr="000144AA">
        <w:t xml:space="preserve"> Fundamental rights inherent to all individuals, including equality, and freedom from discrimination.</w:t>
      </w:r>
    </w:p>
    <w:p w14:paraId="1D20883D" w14:textId="77777777" w:rsidR="000144AA" w:rsidRPr="000144AA" w:rsidRDefault="000144AA" w:rsidP="00CE10A0">
      <w:pPr>
        <w:tabs>
          <w:tab w:val="left" w:pos="3380"/>
        </w:tabs>
      </w:pPr>
    </w:p>
    <w:p w14:paraId="04175B23" w14:textId="2685C94E" w:rsidR="000144AA" w:rsidRPr="000144AA" w:rsidRDefault="000144AA" w:rsidP="000144AA">
      <w:pPr>
        <w:pStyle w:val="ListParagraph"/>
        <w:numPr>
          <w:ilvl w:val="0"/>
          <w:numId w:val="15"/>
        </w:numPr>
        <w:tabs>
          <w:tab w:val="left" w:pos="3380"/>
        </w:tabs>
      </w:pPr>
      <w:r w:rsidRPr="000144AA">
        <w:t xml:space="preserve">Professionals who provide support, advocacy and </w:t>
      </w:r>
      <w:proofErr w:type="gramStart"/>
      <w:r w:rsidRPr="000144AA">
        <w:t>intervention  to</w:t>
      </w:r>
      <w:proofErr w:type="gramEnd"/>
      <w:r w:rsidRPr="000144AA">
        <w:t xml:space="preserve"> improve individuals well-being and address social injustices.</w:t>
      </w:r>
    </w:p>
    <w:p w14:paraId="57C807B5" w14:textId="77777777" w:rsidR="000144AA" w:rsidRDefault="000144AA" w:rsidP="000144AA">
      <w:pPr>
        <w:pStyle w:val="ListParagraph"/>
        <w:rPr>
          <w:b/>
          <w:bCs/>
        </w:rPr>
      </w:pPr>
    </w:p>
    <w:p w14:paraId="0F10126D" w14:textId="77777777" w:rsidR="000144AA" w:rsidRDefault="000144AA" w:rsidP="00CE10A0">
      <w:pPr>
        <w:tabs>
          <w:tab w:val="left" w:pos="3380"/>
        </w:tabs>
        <w:rPr>
          <w:b/>
          <w:bCs/>
        </w:rPr>
      </w:pPr>
    </w:p>
    <w:p w14:paraId="769FA8BA" w14:textId="77777777" w:rsidR="000144AA" w:rsidRDefault="000144AA" w:rsidP="00CE10A0">
      <w:pPr>
        <w:tabs>
          <w:tab w:val="left" w:pos="3380"/>
        </w:tabs>
        <w:rPr>
          <w:b/>
          <w:bCs/>
        </w:rPr>
      </w:pPr>
      <w:r>
        <w:rPr>
          <w:b/>
          <w:bCs/>
        </w:rPr>
        <w:t>Operational Definition</w:t>
      </w:r>
    </w:p>
    <w:p w14:paraId="6618CC32" w14:textId="77777777" w:rsidR="000144AA" w:rsidRDefault="000144AA" w:rsidP="00CE10A0">
      <w:pPr>
        <w:tabs>
          <w:tab w:val="left" w:pos="3380"/>
        </w:tabs>
        <w:rPr>
          <w:b/>
          <w:bCs/>
        </w:rPr>
      </w:pPr>
    </w:p>
    <w:p w14:paraId="605E9844" w14:textId="2FDC90E2" w:rsidR="000144AA" w:rsidRPr="000144AA" w:rsidRDefault="000144AA" w:rsidP="000144AA">
      <w:pPr>
        <w:pStyle w:val="ListParagraph"/>
        <w:numPr>
          <w:ilvl w:val="0"/>
          <w:numId w:val="15"/>
        </w:numPr>
        <w:tabs>
          <w:tab w:val="left" w:pos="3380"/>
        </w:tabs>
      </w:pPr>
      <w:r w:rsidRPr="000144AA">
        <w:t>Principles upheld by social workers in their efforts to ensure gender equality and protect individuals from violence and exclusion.</w:t>
      </w:r>
    </w:p>
    <w:p w14:paraId="28045D71" w14:textId="77777777" w:rsidR="000144AA" w:rsidRPr="000144AA" w:rsidRDefault="000144AA" w:rsidP="00CE10A0">
      <w:pPr>
        <w:tabs>
          <w:tab w:val="left" w:pos="3380"/>
        </w:tabs>
      </w:pPr>
    </w:p>
    <w:p w14:paraId="4A8191BD" w14:textId="33F59EDD" w:rsidR="000144AA" w:rsidRPr="000144AA" w:rsidRDefault="000144AA" w:rsidP="000144AA">
      <w:pPr>
        <w:pStyle w:val="ListParagraph"/>
        <w:numPr>
          <w:ilvl w:val="0"/>
          <w:numId w:val="15"/>
        </w:numPr>
        <w:tabs>
          <w:tab w:val="left" w:pos="3380"/>
        </w:tabs>
      </w:pPr>
      <w:r w:rsidRPr="000144AA">
        <w:t>Instances of violence addressed by social workers in their practice, including intervention, and survivor support.</w:t>
      </w:r>
    </w:p>
    <w:p w14:paraId="3158B5BC" w14:textId="77777777" w:rsidR="000144AA" w:rsidRPr="000144AA" w:rsidRDefault="000144AA" w:rsidP="000144AA">
      <w:pPr>
        <w:pStyle w:val="ListParagraph"/>
      </w:pPr>
    </w:p>
    <w:p w14:paraId="67C0E9C2" w14:textId="77777777" w:rsidR="000144AA" w:rsidRPr="000144AA" w:rsidRDefault="000144AA" w:rsidP="00CE10A0">
      <w:pPr>
        <w:tabs>
          <w:tab w:val="left" w:pos="3380"/>
        </w:tabs>
      </w:pPr>
    </w:p>
    <w:p w14:paraId="6ED4991B" w14:textId="3340C2A4" w:rsidR="000144AA" w:rsidRPr="000144AA" w:rsidRDefault="000144AA" w:rsidP="000144AA">
      <w:pPr>
        <w:pStyle w:val="ListParagraph"/>
        <w:numPr>
          <w:ilvl w:val="0"/>
          <w:numId w:val="15"/>
        </w:numPr>
        <w:tabs>
          <w:tab w:val="left" w:pos="3380"/>
        </w:tabs>
      </w:pPr>
      <w:r w:rsidRPr="000144AA">
        <w:t xml:space="preserve">Principles upheld by social </w:t>
      </w:r>
      <w:proofErr w:type="gramStart"/>
      <w:r w:rsidRPr="000144AA">
        <w:t>worker’s</w:t>
      </w:r>
      <w:proofErr w:type="gramEnd"/>
      <w:r w:rsidRPr="000144AA">
        <w:t xml:space="preserve"> in their efforts to ensure gender equality protect individuals from violence and exclusion.</w:t>
      </w:r>
    </w:p>
    <w:p w14:paraId="6D0294A5" w14:textId="77777777" w:rsidR="000144AA" w:rsidRPr="000144AA" w:rsidRDefault="000144AA" w:rsidP="00CE10A0">
      <w:pPr>
        <w:tabs>
          <w:tab w:val="left" w:pos="3380"/>
        </w:tabs>
      </w:pPr>
    </w:p>
    <w:p w14:paraId="7D9A8B0A" w14:textId="078A8D1E" w:rsidR="00FC1984" w:rsidRPr="003B6525" w:rsidRDefault="000144AA" w:rsidP="00CE10A0">
      <w:pPr>
        <w:pStyle w:val="ListParagraph"/>
        <w:numPr>
          <w:ilvl w:val="0"/>
          <w:numId w:val="15"/>
        </w:numPr>
        <w:tabs>
          <w:tab w:val="left" w:pos="3380"/>
        </w:tabs>
      </w:pPr>
      <w:r w:rsidRPr="000144AA">
        <w:lastRenderedPageBreak/>
        <w:t>Practitioners involved in promoting gender equality and addressing gender-specific issues in diverse community and institutional settings.</w:t>
      </w:r>
    </w:p>
    <w:p w14:paraId="01B72FB3" w14:textId="77777777" w:rsidR="00FC1984" w:rsidRDefault="00FC1984" w:rsidP="00CE10A0">
      <w:pPr>
        <w:tabs>
          <w:tab w:val="left" w:pos="3380"/>
        </w:tabs>
        <w:rPr>
          <w:b/>
          <w:bCs/>
        </w:rPr>
      </w:pPr>
    </w:p>
    <w:p w14:paraId="7FC6C5F0" w14:textId="77777777" w:rsidR="00FC1984" w:rsidRDefault="00FC1984" w:rsidP="00CE10A0">
      <w:pPr>
        <w:tabs>
          <w:tab w:val="left" w:pos="3380"/>
        </w:tabs>
        <w:rPr>
          <w:b/>
          <w:bCs/>
        </w:rPr>
      </w:pPr>
    </w:p>
    <w:p w14:paraId="4C0BCD5A" w14:textId="77777777" w:rsidR="00FC1984" w:rsidRDefault="00FC1984" w:rsidP="00CE10A0">
      <w:pPr>
        <w:tabs>
          <w:tab w:val="left" w:pos="3380"/>
        </w:tabs>
        <w:rPr>
          <w:b/>
          <w:bCs/>
        </w:rPr>
      </w:pPr>
    </w:p>
    <w:p w14:paraId="654BE5EA" w14:textId="77777777" w:rsidR="003B6525" w:rsidRDefault="00C55F55" w:rsidP="00CE10A0">
      <w:pPr>
        <w:tabs>
          <w:tab w:val="left" w:pos="3380"/>
        </w:tabs>
        <w:rPr>
          <w:b/>
          <w:bCs/>
        </w:rPr>
      </w:pPr>
      <w:r w:rsidRPr="002C10EA">
        <w:rPr>
          <w:b/>
          <w:bCs/>
        </w:rPr>
        <w:t>HYPOTH</w:t>
      </w:r>
      <w:r w:rsidR="001174BC" w:rsidRPr="002C10EA">
        <w:rPr>
          <w:b/>
          <w:bCs/>
        </w:rPr>
        <w:t>ESIS</w:t>
      </w:r>
    </w:p>
    <w:p w14:paraId="3F54762B" w14:textId="30772179" w:rsidR="001174BC" w:rsidRPr="003B6525" w:rsidRDefault="001174BC" w:rsidP="00CE10A0">
      <w:pPr>
        <w:tabs>
          <w:tab w:val="left" w:pos="3380"/>
        </w:tabs>
        <w:rPr>
          <w:b/>
          <w:bCs/>
        </w:rPr>
      </w:pPr>
      <w:r>
        <w:t xml:space="preserve">     Hypothesis 1</w:t>
      </w:r>
      <w:r w:rsidR="00916F3B">
        <w:t>: Gender Competency Training Effectiveness</w:t>
      </w:r>
    </w:p>
    <w:p w14:paraId="053BD744" w14:textId="77777777" w:rsidR="00CB538F" w:rsidRDefault="00CB538F" w:rsidP="00CE10A0">
      <w:pPr>
        <w:tabs>
          <w:tab w:val="left" w:pos="3380"/>
        </w:tabs>
      </w:pPr>
    </w:p>
    <w:p w14:paraId="516447F3" w14:textId="0DA4E5E0" w:rsidR="001174BC" w:rsidRDefault="004B4CD0" w:rsidP="004B4CD0">
      <w:pPr>
        <w:pStyle w:val="ListParagraph"/>
        <w:numPr>
          <w:ilvl w:val="0"/>
          <w:numId w:val="3"/>
        </w:numPr>
        <w:tabs>
          <w:tab w:val="left" w:pos="3380"/>
        </w:tabs>
      </w:pPr>
      <w:r>
        <w:t>Null Hypoth</w:t>
      </w:r>
      <w:r w:rsidR="00DA585E">
        <w:t xml:space="preserve">esis </w:t>
      </w:r>
      <w:r w:rsidR="005D659E">
        <w:t>(</w:t>
      </w:r>
      <w:r w:rsidR="007A5B76">
        <w:t>H0</w:t>
      </w:r>
      <w:proofErr w:type="gramStart"/>
      <w:r w:rsidR="007A5B76">
        <w:t>):</w:t>
      </w:r>
      <w:r w:rsidR="00D6441F">
        <w:t>There</w:t>
      </w:r>
      <w:proofErr w:type="gramEnd"/>
      <w:r w:rsidR="00D6441F">
        <w:t xml:space="preserve"> is no significant relationship between receiving formal gender competency training and social workers’ confidence in supporting GBV survivors.</w:t>
      </w:r>
    </w:p>
    <w:p w14:paraId="0775170A" w14:textId="03367F66" w:rsidR="007A5B76" w:rsidRDefault="007A5B76" w:rsidP="004B4CD0">
      <w:pPr>
        <w:pStyle w:val="ListParagraph"/>
        <w:numPr>
          <w:ilvl w:val="0"/>
          <w:numId w:val="3"/>
        </w:numPr>
        <w:tabs>
          <w:tab w:val="left" w:pos="3380"/>
        </w:tabs>
      </w:pPr>
      <w:r>
        <w:t>Alter</w:t>
      </w:r>
      <w:r w:rsidR="00FE5C1C">
        <w:t>native Hypothesis (H1</w:t>
      </w:r>
      <w:proofErr w:type="gramStart"/>
      <w:r w:rsidR="00FE5C1C">
        <w:t>)</w:t>
      </w:r>
      <w:r w:rsidR="00D6441F">
        <w:t>:</w:t>
      </w:r>
      <w:r w:rsidR="00D21BBC">
        <w:t>Social</w:t>
      </w:r>
      <w:proofErr w:type="gramEnd"/>
      <w:r w:rsidR="00D21BBC">
        <w:t xml:space="preserve"> workers who receive formal gender competency training demonstrate significantly higher confidence in supporting GBV survivors.</w:t>
      </w:r>
    </w:p>
    <w:p w14:paraId="79E0AB1F" w14:textId="77777777" w:rsidR="00CE10A0" w:rsidRDefault="00CE10A0" w:rsidP="00CE10A0">
      <w:pPr>
        <w:tabs>
          <w:tab w:val="left" w:pos="3380"/>
        </w:tabs>
      </w:pPr>
    </w:p>
    <w:p w14:paraId="31F02EE5" w14:textId="30AD90F9" w:rsidR="00CE10A0" w:rsidRDefault="00393116" w:rsidP="00CE10A0">
      <w:pPr>
        <w:tabs>
          <w:tab w:val="left" w:pos="3380"/>
        </w:tabs>
      </w:pPr>
      <w:r>
        <w:t xml:space="preserve">      </w:t>
      </w:r>
      <w:r w:rsidR="002275EB">
        <w:t xml:space="preserve">Hypothesis </w:t>
      </w:r>
      <w:proofErr w:type="gramStart"/>
      <w:r w:rsidR="002275EB">
        <w:t>2</w:t>
      </w:r>
      <w:r w:rsidR="007757B9">
        <w:t xml:space="preserve"> :</w:t>
      </w:r>
      <w:proofErr w:type="gramEnd"/>
      <w:r w:rsidR="007757B9">
        <w:t xml:space="preserve"> Systemic Barriers and Resource Needs</w:t>
      </w:r>
    </w:p>
    <w:p w14:paraId="084A1809" w14:textId="77777777" w:rsidR="00CB538F" w:rsidRDefault="00CB538F" w:rsidP="00CE10A0">
      <w:pPr>
        <w:tabs>
          <w:tab w:val="left" w:pos="3380"/>
        </w:tabs>
      </w:pPr>
    </w:p>
    <w:p w14:paraId="74107D18" w14:textId="23406B05" w:rsidR="00716BDC" w:rsidRDefault="00716BDC" w:rsidP="00716BDC">
      <w:pPr>
        <w:pStyle w:val="ListParagraph"/>
        <w:numPr>
          <w:ilvl w:val="0"/>
          <w:numId w:val="3"/>
        </w:numPr>
        <w:tabs>
          <w:tab w:val="left" w:pos="3380"/>
        </w:tabs>
      </w:pPr>
      <w:r>
        <w:t>Null Hypothesis (H0</w:t>
      </w:r>
      <w:proofErr w:type="gramStart"/>
      <w:r>
        <w:t>):</w:t>
      </w:r>
      <w:r w:rsidR="004F2376">
        <w:t>There</w:t>
      </w:r>
      <w:proofErr w:type="gramEnd"/>
      <w:r w:rsidR="004F2376">
        <w:t xml:space="preserve"> is no significant association between facing challenges in gender-related work and perceived need for additional resources/training.  </w:t>
      </w:r>
    </w:p>
    <w:p w14:paraId="637B873A" w14:textId="2A49BEA1" w:rsidR="00205B9A" w:rsidRDefault="00205B9A" w:rsidP="00205B9A">
      <w:pPr>
        <w:pStyle w:val="ListParagraph"/>
        <w:numPr>
          <w:ilvl w:val="0"/>
          <w:numId w:val="3"/>
        </w:numPr>
        <w:tabs>
          <w:tab w:val="left" w:pos="3380"/>
        </w:tabs>
      </w:pPr>
      <w:r>
        <w:t>Null Hypothesis (H2):</w:t>
      </w:r>
      <w:r w:rsidR="002C10EA" w:rsidRPr="002C10EA">
        <w:t xml:space="preserve"> Social workers facing challenges in gender-related work are significantly more likely to report needing additional resources/training.</w:t>
      </w:r>
    </w:p>
    <w:p w14:paraId="2582E772" w14:textId="77777777" w:rsidR="00CB538F" w:rsidRDefault="00CB538F" w:rsidP="00CB538F">
      <w:pPr>
        <w:pStyle w:val="ListParagraph"/>
        <w:tabs>
          <w:tab w:val="left" w:pos="3380"/>
        </w:tabs>
        <w:ind w:left="965"/>
      </w:pPr>
    </w:p>
    <w:p w14:paraId="6B2A884C" w14:textId="59FE9E21" w:rsidR="00716BDC" w:rsidRDefault="009270C6" w:rsidP="000B78C0">
      <w:pPr>
        <w:tabs>
          <w:tab w:val="left" w:pos="3380"/>
        </w:tabs>
        <w:ind w:left="605"/>
        <w:rPr>
          <w:b/>
          <w:bCs/>
        </w:rPr>
      </w:pPr>
      <w:r w:rsidRPr="000B78C0">
        <w:rPr>
          <w:b/>
          <w:bCs/>
        </w:rPr>
        <w:t>RESEARCH</w:t>
      </w:r>
      <w:r w:rsidR="000B78C0" w:rsidRPr="000B78C0">
        <w:rPr>
          <w:b/>
          <w:bCs/>
        </w:rPr>
        <w:t xml:space="preserve"> DESIGN</w:t>
      </w:r>
    </w:p>
    <w:p w14:paraId="543F09C3" w14:textId="77777777" w:rsidR="00CB538F" w:rsidRPr="000B78C0" w:rsidRDefault="00CB538F" w:rsidP="000B78C0">
      <w:pPr>
        <w:tabs>
          <w:tab w:val="left" w:pos="3380"/>
        </w:tabs>
        <w:ind w:left="605"/>
        <w:rPr>
          <w:b/>
          <w:bCs/>
        </w:rPr>
      </w:pPr>
    </w:p>
    <w:p w14:paraId="049E54B0" w14:textId="310375E2" w:rsidR="001571B8" w:rsidRDefault="001571B8" w:rsidP="000B78C0">
      <w:pPr>
        <w:tabs>
          <w:tab w:val="left" w:pos="3380"/>
        </w:tabs>
      </w:pPr>
    </w:p>
    <w:p w14:paraId="49239A2F" w14:textId="77777777" w:rsidR="001571B8" w:rsidRDefault="001571B8" w:rsidP="000B78C0">
      <w:pPr>
        <w:tabs>
          <w:tab w:val="left" w:pos="3380"/>
        </w:tabs>
      </w:pPr>
    </w:p>
    <w:p w14:paraId="75DEEA64" w14:textId="7AA37734" w:rsidR="001571B8" w:rsidRDefault="001571B8" w:rsidP="000B78C0">
      <w:pPr>
        <w:tabs>
          <w:tab w:val="left" w:pos="3380"/>
        </w:tabs>
      </w:pPr>
      <w:r>
        <w:t>This study adopts a quantitative research design strategically selected to facilitate the objective, systematic, and measurable examination of the gender competencies</w:t>
      </w:r>
      <w:r w:rsidR="00026A17">
        <w:t xml:space="preserve"> </w:t>
      </w:r>
      <w:r>
        <w:t>specifically the knowledge, skills, attitudes, and practices—of final-year Master of Social Work (MSW) students under Mahatma Gandhi (MG) University, Kerala. The quantitative approach enables the researcher to collect structured, numeric data that can be statistically analyzed to understand the extent and effectiveness of student preparedness in addressing gender-based violence (GBV) and gender inequalities within diverse community and professional contexts.</w:t>
      </w:r>
    </w:p>
    <w:p w14:paraId="03D2FF0F" w14:textId="77777777" w:rsidR="001571B8" w:rsidRDefault="001571B8" w:rsidP="000B78C0">
      <w:pPr>
        <w:tabs>
          <w:tab w:val="left" w:pos="3380"/>
        </w:tabs>
      </w:pPr>
    </w:p>
    <w:p w14:paraId="6F11BF5E" w14:textId="77777777" w:rsidR="00CE535A" w:rsidRDefault="001571B8" w:rsidP="000B78C0">
      <w:pPr>
        <w:tabs>
          <w:tab w:val="left" w:pos="3380"/>
        </w:tabs>
      </w:pPr>
      <w:r>
        <w:lastRenderedPageBreak/>
        <w:t xml:space="preserve">The design Is grounded in the principle of empirical </w:t>
      </w:r>
      <w:proofErr w:type="gramStart"/>
      <w:r>
        <w:t>measurement</w:t>
      </w:r>
      <w:r w:rsidR="00CA103C">
        <w:t xml:space="preserve"> </w:t>
      </w:r>
      <w:r>
        <w:t xml:space="preserve"> allowing</w:t>
      </w:r>
      <w:proofErr w:type="gramEnd"/>
      <w:r>
        <w:t xml:space="preserve"> for the assessment of defined variables using standardized tools such as questionnaires, rating scales, and statistical tests. This method allows for the identification of patterns, frequencies, distributions, and correlations among key variables such as the level of gender knowledge, </w:t>
      </w:r>
    </w:p>
    <w:p w14:paraId="49A2DDCE" w14:textId="77777777" w:rsidR="00CE535A" w:rsidRDefault="00CE535A" w:rsidP="000B78C0">
      <w:pPr>
        <w:tabs>
          <w:tab w:val="left" w:pos="3380"/>
        </w:tabs>
      </w:pPr>
    </w:p>
    <w:p w14:paraId="6A806313" w14:textId="77777777" w:rsidR="00CE535A" w:rsidRDefault="00CE535A" w:rsidP="000B78C0">
      <w:pPr>
        <w:tabs>
          <w:tab w:val="left" w:pos="3380"/>
        </w:tabs>
      </w:pPr>
    </w:p>
    <w:p w14:paraId="0D1EA24E" w14:textId="77777777" w:rsidR="00CE535A" w:rsidRDefault="00CE535A" w:rsidP="000B78C0">
      <w:pPr>
        <w:tabs>
          <w:tab w:val="left" w:pos="3380"/>
        </w:tabs>
      </w:pPr>
    </w:p>
    <w:p w14:paraId="5C01F37B" w14:textId="77777777" w:rsidR="00CE535A" w:rsidRDefault="00CE535A" w:rsidP="000B78C0">
      <w:pPr>
        <w:tabs>
          <w:tab w:val="left" w:pos="3380"/>
        </w:tabs>
      </w:pPr>
    </w:p>
    <w:p w14:paraId="508F982C" w14:textId="6B4548AD" w:rsidR="001571B8" w:rsidRDefault="001571B8" w:rsidP="000B78C0">
      <w:pPr>
        <w:tabs>
          <w:tab w:val="left" w:pos="3380"/>
        </w:tabs>
      </w:pPr>
      <w:r>
        <w:t xml:space="preserve">frequency of applying gender-sensitive practices, ethical attitudes, exposure to field training, and perceived field-readiness. By employing statistical tools, the study is able to compare sub-groups (e.g., by gender, college, or fieldwork exposure), determine associations between variables, and </w:t>
      </w:r>
      <w:proofErr w:type="gramStart"/>
      <w:r>
        <w:t xml:space="preserve">draw </w:t>
      </w:r>
      <w:r w:rsidR="00CA103C">
        <w:t xml:space="preserve"> </w:t>
      </w:r>
      <w:r>
        <w:t>generalizable</w:t>
      </w:r>
      <w:proofErr w:type="gramEnd"/>
      <w:r>
        <w:t xml:space="preserve"> conclusions</w:t>
      </w:r>
      <w:r w:rsidR="00094593">
        <w:t xml:space="preserve"> </w:t>
      </w:r>
      <w:r>
        <w:t>about the student population as a whole.</w:t>
      </w:r>
    </w:p>
    <w:p w14:paraId="2FCDB2E4" w14:textId="77777777" w:rsidR="001571B8" w:rsidRDefault="001571B8" w:rsidP="000B78C0">
      <w:pPr>
        <w:tabs>
          <w:tab w:val="left" w:pos="3380"/>
        </w:tabs>
      </w:pPr>
    </w:p>
    <w:p w14:paraId="0154A5AE" w14:textId="4ED3D126" w:rsidR="001571B8" w:rsidRDefault="001571B8" w:rsidP="000B78C0">
      <w:pPr>
        <w:tabs>
          <w:tab w:val="left" w:pos="3380"/>
        </w:tabs>
      </w:pPr>
      <w:r>
        <w:t>The use of a quantitative framework also enhances the reliability and replicability of the study, as data are collected using uniform methods, minimizing subjective bias. The structured nature of the design ensures that data from a large number of respondents can be systematically analyzed, enabling the researcher to detect trends and gaps across the entire sample. Furthermore, the findings derived from this design can be used to inform evidence-based recommendations</w:t>
      </w:r>
      <w:r w:rsidR="003D5ECB">
        <w:t xml:space="preserve"> </w:t>
      </w:r>
      <w:r>
        <w:t xml:space="preserve"> for curriculum reform, institutional policy-making, and the design of gender competency training modules.</w:t>
      </w:r>
    </w:p>
    <w:p w14:paraId="2764B750" w14:textId="77777777" w:rsidR="001571B8" w:rsidRDefault="001571B8" w:rsidP="000B78C0">
      <w:pPr>
        <w:tabs>
          <w:tab w:val="left" w:pos="3380"/>
        </w:tabs>
      </w:pPr>
    </w:p>
    <w:p w14:paraId="5DD94D41" w14:textId="0662D78D" w:rsidR="001571B8" w:rsidRDefault="001571B8" w:rsidP="000B78C0">
      <w:pPr>
        <w:tabs>
          <w:tab w:val="left" w:pos="3380"/>
        </w:tabs>
      </w:pPr>
      <w:r>
        <w:t>This research design is particularly appropriate given the study’s aims—to not only assess individual competencies but also to highlight systemic barriers, institutional limitations, and training inconsistencies that may affect the overall preparedness of MSW students. By integrating descriptive and inferential statistical techniques, the quantitative approach offers a comprehensive and objective lens through which the gender preparedness of future social workers can be critically evaluated.</w:t>
      </w:r>
    </w:p>
    <w:p w14:paraId="7475B01B" w14:textId="77777777" w:rsidR="001571B8" w:rsidRDefault="001571B8" w:rsidP="000B78C0">
      <w:pPr>
        <w:tabs>
          <w:tab w:val="left" w:pos="3380"/>
        </w:tabs>
      </w:pPr>
    </w:p>
    <w:p w14:paraId="61F1FD35" w14:textId="150459F5" w:rsidR="001571B8" w:rsidRDefault="001571B8" w:rsidP="000B78C0">
      <w:pPr>
        <w:tabs>
          <w:tab w:val="left" w:pos="3380"/>
        </w:tabs>
      </w:pPr>
      <w:r>
        <w:t>In summary, the quantitative research design</w:t>
      </w:r>
      <w:r w:rsidR="003D5ECB">
        <w:t xml:space="preserve"> </w:t>
      </w:r>
      <w:r>
        <w:t>serves as a robust foundation for examining complex educational and professional variables in a structured manner, offering both depth and breadth in understanding how well final-year MSW students are equipped to engage in ethical, informed, and effective gender-sensitive social work practice.</w:t>
      </w:r>
    </w:p>
    <w:p w14:paraId="1B8BCEC5" w14:textId="77777777" w:rsidR="001571B8" w:rsidRDefault="001571B8" w:rsidP="000B78C0">
      <w:pPr>
        <w:tabs>
          <w:tab w:val="left" w:pos="3380"/>
        </w:tabs>
      </w:pPr>
    </w:p>
    <w:p w14:paraId="21C23768" w14:textId="77777777" w:rsidR="00CB538F" w:rsidRDefault="00CB538F" w:rsidP="000B78C0">
      <w:pPr>
        <w:tabs>
          <w:tab w:val="left" w:pos="3380"/>
        </w:tabs>
      </w:pPr>
    </w:p>
    <w:p w14:paraId="1F0099A2" w14:textId="77777777" w:rsidR="00CE535A" w:rsidRDefault="00CE535A" w:rsidP="000B78C0">
      <w:pPr>
        <w:tabs>
          <w:tab w:val="left" w:pos="3380"/>
        </w:tabs>
      </w:pPr>
    </w:p>
    <w:p w14:paraId="676CD484" w14:textId="77777777" w:rsidR="00CE535A" w:rsidRDefault="00CE535A" w:rsidP="000B78C0">
      <w:pPr>
        <w:tabs>
          <w:tab w:val="left" w:pos="3380"/>
        </w:tabs>
      </w:pPr>
    </w:p>
    <w:p w14:paraId="0BE434BE" w14:textId="77777777" w:rsidR="00CE535A" w:rsidRDefault="00CE535A" w:rsidP="000B78C0">
      <w:pPr>
        <w:tabs>
          <w:tab w:val="left" w:pos="3380"/>
        </w:tabs>
      </w:pPr>
    </w:p>
    <w:p w14:paraId="32A0CB00" w14:textId="77777777" w:rsidR="00CE535A" w:rsidRDefault="00CE535A" w:rsidP="000B78C0">
      <w:pPr>
        <w:tabs>
          <w:tab w:val="left" w:pos="3380"/>
        </w:tabs>
      </w:pPr>
    </w:p>
    <w:p w14:paraId="40661636" w14:textId="77777777" w:rsidR="00CE535A" w:rsidRDefault="00CE535A" w:rsidP="000B78C0">
      <w:pPr>
        <w:tabs>
          <w:tab w:val="left" w:pos="3380"/>
        </w:tabs>
      </w:pPr>
    </w:p>
    <w:p w14:paraId="65ABAFC3" w14:textId="77777777" w:rsidR="00CE535A" w:rsidRDefault="00CE535A" w:rsidP="000B78C0">
      <w:pPr>
        <w:tabs>
          <w:tab w:val="left" w:pos="3380"/>
        </w:tabs>
      </w:pPr>
    </w:p>
    <w:p w14:paraId="5DE40CD4" w14:textId="77777777" w:rsidR="00CE535A" w:rsidRDefault="00CE535A" w:rsidP="000B78C0">
      <w:pPr>
        <w:tabs>
          <w:tab w:val="left" w:pos="3380"/>
        </w:tabs>
      </w:pPr>
    </w:p>
    <w:p w14:paraId="25725632" w14:textId="77777777" w:rsidR="00CE535A" w:rsidRDefault="00CE535A" w:rsidP="000B78C0">
      <w:pPr>
        <w:tabs>
          <w:tab w:val="left" w:pos="3380"/>
        </w:tabs>
      </w:pPr>
    </w:p>
    <w:p w14:paraId="6C356A8A" w14:textId="77777777" w:rsidR="00CE535A" w:rsidRPr="005D0A9F" w:rsidRDefault="00CE535A" w:rsidP="000B78C0">
      <w:pPr>
        <w:tabs>
          <w:tab w:val="left" w:pos="3380"/>
        </w:tabs>
      </w:pPr>
    </w:p>
    <w:p w14:paraId="1AB15F8D" w14:textId="583093D5" w:rsidR="000B78C0" w:rsidRDefault="000B78C0" w:rsidP="000B78C0">
      <w:pPr>
        <w:tabs>
          <w:tab w:val="left" w:pos="3380"/>
        </w:tabs>
        <w:rPr>
          <w:b/>
          <w:bCs/>
        </w:rPr>
      </w:pPr>
      <w:r>
        <w:rPr>
          <w:b/>
          <w:bCs/>
        </w:rPr>
        <w:t xml:space="preserve">            UNIVERSE</w:t>
      </w:r>
    </w:p>
    <w:p w14:paraId="1664F178" w14:textId="77777777" w:rsidR="00CB538F" w:rsidRDefault="00CB538F" w:rsidP="000B78C0">
      <w:pPr>
        <w:tabs>
          <w:tab w:val="left" w:pos="3380"/>
        </w:tabs>
        <w:rPr>
          <w:b/>
          <w:bCs/>
        </w:rPr>
      </w:pPr>
    </w:p>
    <w:p w14:paraId="4D52E53D" w14:textId="44BAD2E8" w:rsidR="00572D2E" w:rsidRDefault="00572D2E" w:rsidP="000B78C0">
      <w:pPr>
        <w:tabs>
          <w:tab w:val="left" w:pos="3380"/>
        </w:tabs>
      </w:pPr>
    </w:p>
    <w:p w14:paraId="00312869" w14:textId="77777777" w:rsidR="00572D2E" w:rsidRDefault="00572D2E" w:rsidP="000B78C0">
      <w:pPr>
        <w:tabs>
          <w:tab w:val="left" w:pos="3380"/>
        </w:tabs>
      </w:pPr>
    </w:p>
    <w:p w14:paraId="78E7F00D" w14:textId="7AB4CCCF" w:rsidR="00572D2E" w:rsidRDefault="00572D2E" w:rsidP="000B78C0">
      <w:pPr>
        <w:tabs>
          <w:tab w:val="left" w:pos="3380"/>
        </w:tabs>
      </w:pPr>
      <w:r>
        <w:t xml:space="preserve">The universe of the present study comprises </w:t>
      </w:r>
      <w:r w:rsidR="00064CDB">
        <w:t xml:space="preserve"> </w:t>
      </w:r>
      <w:r>
        <w:t>final-year Master of Social Work (MSW) students enrolled in colleges affiliated with Mahatma Gandhi (MG) University, Kerala. These students represent a distinct and highly relevant population, as they are in the concluding stage of their postgraduate social work education and are simultaneously immersed in field-based training and professional social work practice. Their proximity to both academic instruction and hands-on community engagement positions them at the intersection of theory and application—making them ideally suited for evaluating gender competencies in real-world contexts.</w:t>
      </w:r>
    </w:p>
    <w:p w14:paraId="74F10D7E" w14:textId="77777777" w:rsidR="00572D2E" w:rsidRDefault="00572D2E" w:rsidP="000B78C0">
      <w:pPr>
        <w:tabs>
          <w:tab w:val="left" w:pos="3380"/>
        </w:tabs>
      </w:pPr>
    </w:p>
    <w:p w14:paraId="5E9FA311" w14:textId="7B4F2DE8" w:rsidR="00572D2E" w:rsidRDefault="00572D2E" w:rsidP="000B78C0">
      <w:pPr>
        <w:tabs>
          <w:tab w:val="left" w:pos="3380"/>
        </w:tabs>
      </w:pPr>
      <w:r>
        <w:t>This group is particularly significant because final-year MSW students have already completed foundational coursework in core social work subjects such as social casework, group work, community organization, human rights, social policy, and research methods. In addition, many have been exposed to gender-related modules and electives, providing them with the theoretical framework needed to understand gender issues, as well as practical assignments intended to reinforce application in field settings. Most importantly, they are currently involved in fieldwork placements</w:t>
      </w:r>
      <w:r w:rsidR="00064CDB">
        <w:t xml:space="preserve"> </w:t>
      </w:r>
      <w:r>
        <w:t>within government institutions, non-governmental organizations (NGOs), hospitals, schools, or community-based initiatives, where they confront gender-based issues such as domestic violence, child marriage, dowry harassment, and discrimination in various forms.</w:t>
      </w:r>
    </w:p>
    <w:p w14:paraId="2D3FAC9A" w14:textId="77777777" w:rsidR="00572D2E" w:rsidRDefault="00572D2E" w:rsidP="000B78C0">
      <w:pPr>
        <w:tabs>
          <w:tab w:val="left" w:pos="3380"/>
        </w:tabs>
      </w:pPr>
    </w:p>
    <w:p w14:paraId="7ECD5939" w14:textId="5CAAAABA" w:rsidR="00572D2E" w:rsidRDefault="00572D2E" w:rsidP="000B78C0">
      <w:pPr>
        <w:tabs>
          <w:tab w:val="left" w:pos="3380"/>
        </w:tabs>
      </w:pPr>
      <w:r>
        <w:t>By focusing on this specific universe, the study ensures that participants have sufficient academic maturity, practical exposure, and reflective capacity</w:t>
      </w:r>
      <w:r w:rsidR="00064CDB">
        <w:t xml:space="preserve"> </w:t>
      </w:r>
      <w:r>
        <w:t xml:space="preserve">to contribute meaningfully to </w:t>
      </w:r>
      <w:r>
        <w:lastRenderedPageBreak/>
        <w:t xml:space="preserve">the research. Their experiences offer direct insight into how well social work education under MG University equips future professionals to </w:t>
      </w:r>
      <w:proofErr w:type="gramStart"/>
      <w:r>
        <w:t xml:space="preserve">address </w:t>
      </w:r>
      <w:r w:rsidR="00064CDB">
        <w:t xml:space="preserve"> </w:t>
      </w:r>
      <w:r>
        <w:t>gender</w:t>
      </w:r>
      <w:proofErr w:type="gramEnd"/>
      <w:r>
        <w:t xml:space="preserve"> inequality and gender-based violence (GBV)</w:t>
      </w:r>
      <w:r w:rsidR="00064CDB">
        <w:t xml:space="preserve"> </w:t>
      </w:r>
      <w:r>
        <w:t>both of which remain critical social concerns in Kerala and beyond.</w:t>
      </w:r>
    </w:p>
    <w:p w14:paraId="26E4D246" w14:textId="77777777" w:rsidR="00572D2E" w:rsidRDefault="00572D2E" w:rsidP="000B78C0">
      <w:pPr>
        <w:tabs>
          <w:tab w:val="left" w:pos="3380"/>
        </w:tabs>
      </w:pPr>
    </w:p>
    <w:p w14:paraId="336396EE" w14:textId="7F0C4172" w:rsidR="00572D2E" w:rsidRDefault="00572D2E" w:rsidP="000B78C0">
      <w:pPr>
        <w:tabs>
          <w:tab w:val="left" w:pos="3380"/>
        </w:tabs>
      </w:pPr>
      <w:r>
        <w:t>Furthermore, this universe reflects a diverse cross-section of students with varying backgrounds in terms of geographic location (rural/urban), socio-economic status, cultural perspectives, and institutional environments</w:t>
      </w:r>
      <w:r w:rsidR="00A87A4E">
        <w:t>,</w:t>
      </w:r>
      <w:r>
        <w:t xml:space="preserve"> offering a rich data source for exploring how individual and institutional factors influence gender competency development. Studying this group provides the basis for generalizing findings</w:t>
      </w:r>
      <w:r w:rsidR="00A87A4E">
        <w:t xml:space="preserve"> </w:t>
      </w:r>
      <w:r>
        <w:t>across the broader population of MSW students in Kerala, and potentially, informing gender-responsive educational reforms at the national level.</w:t>
      </w:r>
    </w:p>
    <w:p w14:paraId="0EA1F797" w14:textId="77777777" w:rsidR="00572D2E" w:rsidRDefault="00572D2E" w:rsidP="000B78C0">
      <w:pPr>
        <w:tabs>
          <w:tab w:val="left" w:pos="3380"/>
        </w:tabs>
      </w:pPr>
    </w:p>
    <w:p w14:paraId="6EEAC37B" w14:textId="1FDFE0FC" w:rsidR="003D5ECB" w:rsidRDefault="00572D2E" w:rsidP="000B78C0">
      <w:pPr>
        <w:tabs>
          <w:tab w:val="left" w:pos="3380"/>
        </w:tabs>
      </w:pPr>
      <w:r>
        <w:t>Thus, the selected universe not only aligns with the aims of the study but also enhances the credibility, relevance, and practical applicability</w:t>
      </w:r>
      <w:r w:rsidR="00A87A4E">
        <w:t xml:space="preserve"> </w:t>
      </w:r>
      <w:r>
        <w:t>of its findings.</w:t>
      </w:r>
    </w:p>
    <w:p w14:paraId="05C4C0CE" w14:textId="77777777" w:rsidR="003D5ECB" w:rsidRPr="00643F49" w:rsidRDefault="003D5ECB" w:rsidP="000B78C0">
      <w:pPr>
        <w:tabs>
          <w:tab w:val="left" w:pos="3380"/>
        </w:tabs>
      </w:pPr>
    </w:p>
    <w:p w14:paraId="1A39034D" w14:textId="378F23F7" w:rsidR="000B78C0" w:rsidRDefault="000B78C0" w:rsidP="000B78C0">
      <w:pPr>
        <w:tabs>
          <w:tab w:val="left" w:pos="3380"/>
        </w:tabs>
        <w:rPr>
          <w:b/>
          <w:bCs/>
        </w:rPr>
      </w:pPr>
      <w:r>
        <w:rPr>
          <w:b/>
          <w:bCs/>
        </w:rPr>
        <w:t xml:space="preserve">            </w:t>
      </w:r>
      <w:r w:rsidR="0097512B">
        <w:rPr>
          <w:b/>
          <w:bCs/>
        </w:rPr>
        <w:t>SAMPLING</w:t>
      </w:r>
    </w:p>
    <w:p w14:paraId="578E7D9C" w14:textId="77777777" w:rsidR="00CB538F" w:rsidRDefault="00CB538F" w:rsidP="000B78C0">
      <w:pPr>
        <w:tabs>
          <w:tab w:val="left" w:pos="3380"/>
        </w:tabs>
        <w:rPr>
          <w:b/>
          <w:bCs/>
        </w:rPr>
      </w:pPr>
    </w:p>
    <w:p w14:paraId="19461BA4" w14:textId="7E8FD3B3" w:rsidR="0031547F" w:rsidRPr="00DF4B29" w:rsidRDefault="0031547F" w:rsidP="000B78C0">
      <w:pPr>
        <w:tabs>
          <w:tab w:val="left" w:pos="3380"/>
        </w:tabs>
      </w:pPr>
      <w:r w:rsidRPr="00643F49">
        <w:t>Sampling Technique: Purposive sampling was used to select respondents who have completed core social work coursework and are undergoing or have completed field placement.</w:t>
      </w:r>
    </w:p>
    <w:p w14:paraId="125A5449" w14:textId="771D0E62" w:rsidR="00DF4B29" w:rsidRDefault="0031547F" w:rsidP="000B78C0">
      <w:pPr>
        <w:tabs>
          <w:tab w:val="left" w:pos="3380"/>
        </w:tabs>
      </w:pPr>
      <w:r w:rsidRPr="00937565">
        <w:t>Sample Size: 100 final-year MSW students from different specialization streams (Community Development, Psychiatric Social Work, Family and Child Welfare) were selected to ensure representation across practice domains.</w:t>
      </w:r>
    </w:p>
    <w:p w14:paraId="3C9A3466" w14:textId="47105D2B" w:rsidR="00DF4B29" w:rsidRDefault="00DF4B29" w:rsidP="000B78C0">
      <w:pPr>
        <w:tabs>
          <w:tab w:val="left" w:pos="3380"/>
        </w:tabs>
      </w:pPr>
      <w:r>
        <w:t>A purposive sampling method was employed to select 100 final-year MSW students from a diverse range of specialization areas, including:</w:t>
      </w:r>
    </w:p>
    <w:p w14:paraId="41ED74B5" w14:textId="77777777" w:rsidR="00393116" w:rsidRDefault="00393116" w:rsidP="000B78C0">
      <w:pPr>
        <w:tabs>
          <w:tab w:val="left" w:pos="3380"/>
        </w:tabs>
      </w:pPr>
    </w:p>
    <w:p w14:paraId="5CB91C0A" w14:textId="1081ADD8" w:rsidR="00DF4B29" w:rsidRDefault="00DF4B29" w:rsidP="000B78C0">
      <w:pPr>
        <w:pStyle w:val="ListParagraph"/>
        <w:numPr>
          <w:ilvl w:val="0"/>
          <w:numId w:val="6"/>
        </w:numPr>
        <w:tabs>
          <w:tab w:val="left" w:pos="3380"/>
        </w:tabs>
      </w:pPr>
      <w:r>
        <w:t>Community Development (48%)</w:t>
      </w:r>
    </w:p>
    <w:p w14:paraId="6F8ACDB8" w14:textId="69EB1D91" w:rsidR="00DF4B29" w:rsidRDefault="00DF4B29" w:rsidP="000B78C0">
      <w:pPr>
        <w:pStyle w:val="ListParagraph"/>
        <w:numPr>
          <w:ilvl w:val="0"/>
          <w:numId w:val="6"/>
        </w:numPr>
        <w:tabs>
          <w:tab w:val="left" w:pos="3380"/>
        </w:tabs>
      </w:pPr>
      <w:r>
        <w:t>Psychiatric Social Work (36%)</w:t>
      </w:r>
    </w:p>
    <w:p w14:paraId="3B02FD5C" w14:textId="228EF213" w:rsidR="00DF4B29" w:rsidRDefault="00DF4B29" w:rsidP="00DF4B29">
      <w:pPr>
        <w:pStyle w:val="ListParagraph"/>
        <w:numPr>
          <w:ilvl w:val="0"/>
          <w:numId w:val="6"/>
        </w:numPr>
        <w:tabs>
          <w:tab w:val="left" w:pos="3380"/>
        </w:tabs>
      </w:pPr>
      <w:r>
        <w:t>Family and Child Welfare (16%)</w:t>
      </w:r>
    </w:p>
    <w:p w14:paraId="06D574D5" w14:textId="77777777" w:rsidR="00393116" w:rsidRDefault="00393116" w:rsidP="00393116">
      <w:pPr>
        <w:pStyle w:val="ListParagraph"/>
        <w:tabs>
          <w:tab w:val="left" w:pos="3380"/>
        </w:tabs>
      </w:pPr>
    </w:p>
    <w:p w14:paraId="4462D9FC" w14:textId="22E2BEFF" w:rsidR="00DF4B29" w:rsidRDefault="00DF4B29" w:rsidP="000B78C0">
      <w:pPr>
        <w:tabs>
          <w:tab w:val="left" w:pos="3380"/>
        </w:tabs>
      </w:pPr>
      <w:r>
        <w:t>This sampling strategy ensures a representative mix of students who are exposed to different dimensions of social work practice, particularly those relevant to gender-based issues.</w:t>
      </w:r>
    </w:p>
    <w:p w14:paraId="1F516460" w14:textId="77777777" w:rsidR="00DF4B29" w:rsidRDefault="00DF4B29" w:rsidP="000B78C0">
      <w:pPr>
        <w:tabs>
          <w:tab w:val="left" w:pos="3380"/>
        </w:tabs>
      </w:pPr>
    </w:p>
    <w:p w14:paraId="37D361EC" w14:textId="77777777" w:rsidR="00393116" w:rsidRDefault="00393116" w:rsidP="000B78C0">
      <w:pPr>
        <w:tabs>
          <w:tab w:val="left" w:pos="3380"/>
        </w:tabs>
      </w:pPr>
    </w:p>
    <w:p w14:paraId="67117550" w14:textId="77777777" w:rsidR="00393116" w:rsidRDefault="00393116" w:rsidP="000B78C0">
      <w:pPr>
        <w:tabs>
          <w:tab w:val="left" w:pos="3380"/>
        </w:tabs>
      </w:pPr>
    </w:p>
    <w:p w14:paraId="412E26A3" w14:textId="77777777" w:rsidR="00393116" w:rsidRDefault="00393116" w:rsidP="000B78C0">
      <w:pPr>
        <w:tabs>
          <w:tab w:val="left" w:pos="3380"/>
        </w:tabs>
      </w:pPr>
    </w:p>
    <w:p w14:paraId="1A25837C" w14:textId="77777777" w:rsidR="00393116" w:rsidRDefault="00393116" w:rsidP="000B78C0">
      <w:pPr>
        <w:tabs>
          <w:tab w:val="left" w:pos="3380"/>
        </w:tabs>
      </w:pPr>
    </w:p>
    <w:p w14:paraId="10FFA1DB" w14:textId="77777777" w:rsidR="00393116" w:rsidRDefault="00393116" w:rsidP="000B78C0">
      <w:pPr>
        <w:tabs>
          <w:tab w:val="left" w:pos="3380"/>
        </w:tabs>
      </w:pPr>
    </w:p>
    <w:p w14:paraId="6C8374FA" w14:textId="77777777" w:rsidR="00393116" w:rsidRPr="00937565" w:rsidRDefault="00393116" w:rsidP="000B78C0">
      <w:pPr>
        <w:tabs>
          <w:tab w:val="left" w:pos="3380"/>
        </w:tabs>
      </w:pPr>
    </w:p>
    <w:p w14:paraId="49C08536" w14:textId="1D9FA8C2" w:rsidR="00BD1D2C" w:rsidRDefault="008F4EC0" w:rsidP="000B78C0">
      <w:pPr>
        <w:tabs>
          <w:tab w:val="left" w:pos="3380"/>
        </w:tabs>
        <w:rPr>
          <w:b/>
          <w:bCs/>
        </w:rPr>
      </w:pPr>
      <w:r>
        <w:rPr>
          <w:b/>
          <w:bCs/>
        </w:rPr>
        <w:t xml:space="preserve">          INCLUSION CRITERIA</w:t>
      </w:r>
    </w:p>
    <w:p w14:paraId="53703EF5" w14:textId="77777777" w:rsidR="00FB3DB9" w:rsidRDefault="00FB3DB9" w:rsidP="000B78C0">
      <w:pPr>
        <w:tabs>
          <w:tab w:val="left" w:pos="3380"/>
        </w:tabs>
        <w:rPr>
          <w:b/>
          <w:bCs/>
        </w:rPr>
      </w:pPr>
    </w:p>
    <w:p w14:paraId="51AB81C1" w14:textId="2C239793" w:rsidR="00BD1D2C" w:rsidRPr="00071E82" w:rsidRDefault="00BD1D2C" w:rsidP="000B78C0">
      <w:pPr>
        <w:tabs>
          <w:tab w:val="left" w:pos="3380"/>
        </w:tabs>
      </w:pPr>
      <w:r w:rsidRPr="00071E82">
        <w:t>Final-year MSW students from MG University-affiliated colleges.</w:t>
      </w:r>
    </w:p>
    <w:p w14:paraId="2B0DEA78" w14:textId="1EC2BB93" w:rsidR="00BD1D2C" w:rsidRPr="00071E82" w:rsidRDefault="00BD1D2C" w:rsidP="000B78C0">
      <w:pPr>
        <w:tabs>
          <w:tab w:val="left" w:pos="3380"/>
        </w:tabs>
      </w:pPr>
      <w:r w:rsidRPr="00071E82">
        <w:t>Students who have completed fieldwork/internship.</w:t>
      </w:r>
    </w:p>
    <w:p w14:paraId="2DCF4659" w14:textId="239D04E0" w:rsidR="00BD1D2C" w:rsidRPr="00071E82" w:rsidRDefault="00BD1D2C" w:rsidP="000B78C0">
      <w:pPr>
        <w:tabs>
          <w:tab w:val="left" w:pos="3380"/>
        </w:tabs>
      </w:pPr>
      <w:r w:rsidRPr="00071E82">
        <w:t>Students who voluntarily consented to participate.</w:t>
      </w:r>
    </w:p>
    <w:p w14:paraId="3756D228" w14:textId="079EEC7E" w:rsidR="00E21A04" w:rsidRDefault="008F4EC0" w:rsidP="000B78C0">
      <w:pPr>
        <w:tabs>
          <w:tab w:val="left" w:pos="3380"/>
        </w:tabs>
        <w:rPr>
          <w:b/>
          <w:bCs/>
        </w:rPr>
      </w:pPr>
      <w:r>
        <w:rPr>
          <w:b/>
          <w:bCs/>
        </w:rPr>
        <w:t xml:space="preserve">          </w:t>
      </w:r>
      <w:r w:rsidR="00645EA2">
        <w:rPr>
          <w:b/>
          <w:bCs/>
        </w:rPr>
        <w:t>EXCLUSION CRITERIA</w:t>
      </w:r>
    </w:p>
    <w:p w14:paraId="78E2C03E" w14:textId="77777777" w:rsidR="00FB3DB9" w:rsidRDefault="00FB3DB9" w:rsidP="000B78C0">
      <w:pPr>
        <w:tabs>
          <w:tab w:val="left" w:pos="3380"/>
        </w:tabs>
        <w:rPr>
          <w:b/>
          <w:bCs/>
        </w:rPr>
      </w:pPr>
    </w:p>
    <w:p w14:paraId="4B6A0980" w14:textId="29E45713" w:rsidR="00E21A04" w:rsidRPr="00071E82" w:rsidRDefault="00E21A04" w:rsidP="000B78C0">
      <w:pPr>
        <w:tabs>
          <w:tab w:val="left" w:pos="3380"/>
        </w:tabs>
      </w:pPr>
      <w:r w:rsidRPr="00071E82">
        <w:t>First-year MSW students or those in pre-final semesters.</w:t>
      </w:r>
    </w:p>
    <w:p w14:paraId="326B45BB" w14:textId="228F9752" w:rsidR="00E21A04" w:rsidRPr="00071E82" w:rsidRDefault="00E21A04" w:rsidP="000B78C0">
      <w:pPr>
        <w:tabs>
          <w:tab w:val="left" w:pos="3380"/>
        </w:tabs>
      </w:pPr>
      <w:r w:rsidRPr="00071E82">
        <w:t>Students from non-affiliated or external universities.</w:t>
      </w:r>
    </w:p>
    <w:p w14:paraId="6FF79DAE" w14:textId="6230B666" w:rsidR="00E21A04" w:rsidRDefault="00E21A04" w:rsidP="000B78C0">
      <w:pPr>
        <w:tabs>
          <w:tab w:val="left" w:pos="3380"/>
        </w:tabs>
      </w:pPr>
      <w:r w:rsidRPr="00071E82">
        <w:t>Participants who did not complete the questionnaire or withdrew consent.</w:t>
      </w:r>
    </w:p>
    <w:p w14:paraId="74851DDE" w14:textId="77777777" w:rsidR="00411176" w:rsidRPr="00071E82" w:rsidRDefault="00411176" w:rsidP="000B78C0">
      <w:pPr>
        <w:tabs>
          <w:tab w:val="left" w:pos="3380"/>
        </w:tabs>
      </w:pPr>
    </w:p>
    <w:p w14:paraId="741C9B9B" w14:textId="1F306E66" w:rsidR="00645EA2" w:rsidRDefault="00645EA2" w:rsidP="000B78C0">
      <w:pPr>
        <w:tabs>
          <w:tab w:val="left" w:pos="3380"/>
        </w:tabs>
        <w:rPr>
          <w:b/>
          <w:bCs/>
        </w:rPr>
      </w:pPr>
      <w:r>
        <w:rPr>
          <w:b/>
          <w:bCs/>
        </w:rPr>
        <w:t xml:space="preserve">         TOOL OF DATA COLLECTION</w:t>
      </w:r>
    </w:p>
    <w:p w14:paraId="532E9181" w14:textId="77777777" w:rsidR="00FB3DB9" w:rsidRDefault="00FB3DB9" w:rsidP="000B78C0">
      <w:pPr>
        <w:tabs>
          <w:tab w:val="left" w:pos="3380"/>
        </w:tabs>
        <w:rPr>
          <w:b/>
          <w:bCs/>
        </w:rPr>
      </w:pPr>
    </w:p>
    <w:p w14:paraId="6EB1E5E5" w14:textId="3B5B34E4" w:rsidR="003772D9" w:rsidRPr="00071E82" w:rsidRDefault="003772D9" w:rsidP="000B78C0">
      <w:pPr>
        <w:tabs>
          <w:tab w:val="left" w:pos="3380"/>
        </w:tabs>
      </w:pPr>
      <w:r w:rsidRPr="00071E82">
        <w:t>A structured questionnaire was developed and validated, consisting of:</w:t>
      </w:r>
    </w:p>
    <w:p w14:paraId="19418EC6" w14:textId="1C31358D" w:rsidR="003772D9" w:rsidRPr="00071E82" w:rsidRDefault="003772D9" w:rsidP="000B78C0">
      <w:pPr>
        <w:tabs>
          <w:tab w:val="left" w:pos="3380"/>
        </w:tabs>
      </w:pPr>
      <w:r w:rsidRPr="00071E82">
        <w:t>Closed-ended questions (Yes/No format and Likert-scale items).</w:t>
      </w:r>
    </w:p>
    <w:p w14:paraId="03BFB351" w14:textId="77777777" w:rsidR="00071E82" w:rsidRPr="00071E82" w:rsidRDefault="003772D9" w:rsidP="000B78C0">
      <w:pPr>
        <w:tabs>
          <w:tab w:val="left" w:pos="3380"/>
        </w:tabs>
      </w:pPr>
      <w:r w:rsidRPr="00071E82">
        <w:t>Sections focusing on:</w:t>
      </w:r>
      <w:r w:rsidR="008F441E" w:rsidRPr="00071E82">
        <w:t xml:space="preserve"> </w:t>
      </w:r>
      <w:r w:rsidRPr="00071E82">
        <w:t>Gender knowledge (e.g., awareness of GBV, laws).</w:t>
      </w:r>
      <w:r w:rsidR="008F441E" w:rsidRPr="00071E82">
        <w:t xml:space="preserve"> </w:t>
      </w:r>
    </w:p>
    <w:p w14:paraId="28281E27" w14:textId="77777777" w:rsidR="00071E82" w:rsidRPr="00071E82" w:rsidRDefault="003772D9" w:rsidP="000B78C0">
      <w:pPr>
        <w:tabs>
          <w:tab w:val="left" w:pos="3380"/>
        </w:tabs>
      </w:pPr>
      <w:r w:rsidRPr="00071E82">
        <w:t>Gender-sensitive skills (e.g., counseling approaches, communication).</w:t>
      </w:r>
      <w:r w:rsidR="008F441E" w:rsidRPr="00071E82">
        <w:t xml:space="preserve"> </w:t>
      </w:r>
    </w:p>
    <w:p w14:paraId="0E639A49" w14:textId="71A1A64F" w:rsidR="003772D9" w:rsidRPr="00071E82" w:rsidRDefault="003772D9" w:rsidP="000B78C0">
      <w:pPr>
        <w:tabs>
          <w:tab w:val="left" w:pos="3380"/>
        </w:tabs>
      </w:pPr>
      <w:r w:rsidRPr="00071E82">
        <w:t>Practice readiness (e.g., field intervention, training received).</w:t>
      </w:r>
    </w:p>
    <w:p w14:paraId="1E22ADD3" w14:textId="77777777" w:rsidR="003772D9" w:rsidRDefault="003772D9" w:rsidP="000B78C0">
      <w:pPr>
        <w:tabs>
          <w:tab w:val="left" w:pos="3380"/>
        </w:tabs>
      </w:pPr>
      <w:r w:rsidRPr="00071E82">
        <w:t>The tool was pilot-tested for clarity and reliability.</w:t>
      </w:r>
    </w:p>
    <w:p w14:paraId="201D8DF7" w14:textId="77777777" w:rsidR="00FB3DB9" w:rsidRPr="00071E82" w:rsidRDefault="00FB3DB9" w:rsidP="000B78C0">
      <w:pPr>
        <w:tabs>
          <w:tab w:val="left" w:pos="3380"/>
        </w:tabs>
      </w:pPr>
    </w:p>
    <w:p w14:paraId="7353A5D2" w14:textId="3335A4B5" w:rsidR="00EE1AEB" w:rsidRDefault="00EE1AEB" w:rsidP="000B78C0">
      <w:pPr>
        <w:tabs>
          <w:tab w:val="left" w:pos="3380"/>
        </w:tabs>
        <w:rPr>
          <w:b/>
          <w:bCs/>
        </w:rPr>
      </w:pPr>
      <w:r>
        <w:rPr>
          <w:b/>
          <w:bCs/>
        </w:rPr>
        <w:t xml:space="preserve">         METHOD OF DATA COLLECTION</w:t>
      </w:r>
    </w:p>
    <w:p w14:paraId="1AA8FB43" w14:textId="77777777" w:rsidR="00FB3DB9" w:rsidRDefault="00FB3DB9" w:rsidP="000B78C0">
      <w:pPr>
        <w:tabs>
          <w:tab w:val="left" w:pos="3380"/>
        </w:tabs>
        <w:rPr>
          <w:b/>
          <w:bCs/>
        </w:rPr>
      </w:pPr>
    </w:p>
    <w:p w14:paraId="2AA84004" w14:textId="3CBC0518" w:rsidR="0019058C" w:rsidRDefault="0019058C" w:rsidP="000B78C0">
      <w:pPr>
        <w:tabs>
          <w:tab w:val="left" w:pos="3380"/>
        </w:tabs>
      </w:pPr>
      <w:r w:rsidRPr="00F65EB9">
        <w:t>Data were collected using a structured questionnaire designed specifically for this study. The questionnaire was:</w:t>
      </w:r>
    </w:p>
    <w:p w14:paraId="6318A613" w14:textId="77777777" w:rsidR="00181D6D" w:rsidRPr="00F65EB9" w:rsidRDefault="00181D6D" w:rsidP="000B78C0">
      <w:pPr>
        <w:tabs>
          <w:tab w:val="left" w:pos="3380"/>
        </w:tabs>
      </w:pPr>
    </w:p>
    <w:p w14:paraId="60423A21" w14:textId="3B9E305D" w:rsidR="0019058C" w:rsidRPr="00F65EB9" w:rsidRDefault="0019058C" w:rsidP="00B32D62">
      <w:pPr>
        <w:pStyle w:val="ListParagraph"/>
        <w:numPr>
          <w:ilvl w:val="0"/>
          <w:numId w:val="9"/>
        </w:numPr>
        <w:tabs>
          <w:tab w:val="left" w:pos="3380"/>
        </w:tabs>
      </w:pPr>
      <w:r w:rsidRPr="00F65EB9">
        <w:t>Self-administered, allowing participants to respond independently.</w:t>
      </w:r>
    </w:p>
    <w:p w14:paraId="036A4C9D" w14:textId="3FC524FD" w:rsidR="0019058C" w:rsidRPr="00F65EB9" w:rsidRDefault="0019058C" w:rsidP="004D68BA">
      <w:pPr>
        <w:pStyle w:val="ListParagraph"/>
        <w:numPr>
          <w:ilvl w:val="0"/>
          <w:numId w:val="9"/>
        </w:numPr>
        <w:tabs>
          <w:tab w:val="left" w:pos="3380"/>
        </w:tabs>
      </w:pPr>
      <w:r w:rsidRPr="00F65EB9">
        <w:t>Divided into sections focusing on:</w:t>
      </w:r>
      <w:r w:rsidR="00A1281F" w:rsidRPr="00F65EB9">
        <w:t xml:space="preserve"> </w:t>
      </w:r>
      <w:r w:rsidRPr="00F65EB9">
        <w:t>Knowledge of gender issues, policies, and GBV.</w:t>
      </w:r>
    </w:p>
    <w:p w14:paraId="7829A6BD" w14:textId="6DC69B02" w:rsidR="00CA2A8D" w:rsidRPr="00F65EB9" w:rsidRDefault="00CA2A8D" w:rsidP="000B78C0">
      <w:pPr>
        <w:pStyle w:val="ListParagraph"/>
        <w:numPr>
          <w:ilvl w:val="0"/>
          <w:numId w:val="9"/>
        </w:numPr>
        <w:tabs>
          <w:tab w:val="left" w:pos="3380"/>
        </w:tabs>
      </w:pPr>
      <w:r w:rsidRPr="00F65EB9">
        <w:t>Skills in applying gender-sensitive practices.</w:t>
      </w:r>
    </w:p>
    <w:p w14:paraId="0C9E3B78" w14:textId="7BD50830" w:rsidR="00CA2A8D" w:rsidRPr="00F65EB9" w:rsidRDefault="00CA2A8D" w:rsidP="000B78C0">
      <w:pPr>
        <w:pStyle w:val="ListParagraph"/>
        <w:numPr>
          <w:ilvl w:val="0"/>
          <w:numId w:val="9"/>
        </w:numPr>
        <w:tabs>
          <w:tab w:val="left" w:pos="3380"/>
        </w:tabs>
      </w:pPr>
      <w:r w:rsidRPr="00F65EB9">
        <w:t>Practice readiness, including field experiences and intervention techniques.</w:t>
      </w:r>
    </w:p>
    <w:p w14:paraId="5CD8BD32" w14:textId="77777777" w:rsidR="00C16374" w:rsidRDefault="00C16374" w:rsidP="000B78C0">
      <w:pPr>
        <w:tabs>
          <w:tab w:val="left" w:pos="3380"/>
        </w:tabs>
      </w:pPr>
    </w:p>
    <w:p w14:paraId="664FB157" w14:textId="77777777" w:rsidR="00C16374" w:rsidRDefault="00C16374" w:rsidP="000B78C0">
      <w:pPr>
        <w:tabs>
          <w:tab w:val="left" w:pos="3380"/>
        </w:tabs>
      </w:pPr>
    </w:p>
    <w:p w14:paraId="066A9797" w14:textId="77777777" w:rsidR="00C16374" w:rsidRDefault="00C16374" w:rsidP="000B78C0">
      <w:pPr>
        <w:tabs>
          <w:tab w:val="left" w:pos="3380"/>
        </w:tabs>
      </w:pPr>
    </w:p>
    <w:p w14:paraId="385A182D" w14:textId="1A533D7D" w:rsidR="00CA2A8D" w:rsidRDefault="00CA2A8D" w:rsidP="000B78C0">
      <w:pPr>
        <w:tabs>
          <w:tab w:val="left" w:pos="3380"/>
        </w:tabs>
      </w:pPr>
      <w:r w:rsidRPr="00F65EB9">
        <w:t>Delivered in both online (Google Forms) and offline formats, depending on the accessibility and preference of the students.</w:t>
      </w:r>
      <w:r w:rsidR="00A32DD0" w:rsidRPr="00F65EB9">
        <w:t xml:space="preserve"> </w:t>
      </w:r>
      <w:r w:rsidRPr="00F65EB9">
        <w:t>Ensured anonymity and confidentiality, with informed consent obtained from all participants.</w:t>
      </w:r>
    </w:p>
    <w:p w14:paraId="495EA9BE" w14:textId="77777777" w:rsidR="00FB3DB9" w:rsidRDefault="00FB3DB9" w:rsidP="000B78C0">
      <w:pPr>
        <w:tabs>
          <w:tab w:val="left" w:pos="3380"/>
        </w:tabs>
      </w:pPr>
    </w:p>
    <w:p w14:paraId="270BE99F" w14:textId="77777777" w:rsidR="00212483" w:rsidRDefault="00212483" w:rsidP="000B78C0">
      <w:pPr>
        <w:tabs>
          <w:tab w:val="left" w:pos="3380"/>
        </w:tabs>
      </w:pPr>
    </w:p>
    <w:p w14:paraId="2F1A0272" w14:textId="77777777" w:rsidR="00212483" w:rsidRPr="00F65EB9" w:rsidRDefault="00212483" w:rsidP="000B78C0">
      <w:pPr>
        <w:tabs>
          <w:tab w:val="left" w:pos="3380"/>
        </w:tabs>
      </w:pPr>
    </w:p>
    <w:p w14:paraId="13214E46" w14:textId="3B69169D" w:rsidR="00EE1AEB" w:rsidRDefault="00EE1AEB" w:rsidP="000B78C0">
      <w:pPr>
        <w:tabs>
          <w:tab w:val="left" w:pos="3380"/>
        </w:tabs>
        <w:rPr>
          <w:b/>
          <w:bCs/>
        </w:rPr>
      </w:pPr>
      <w:r>
        <w:rPr>
          <w:b/>
          <w:bCs/>
        </w:rPr>
        <w:t xml:space="preserve">        </w:t>
      </w:r>
      <w:r w:rsidR="00170B08">
        <w:rPr>
          <w:b/>
          <w:bCs/>
        </w:rPr>
        <w:t xml:space="preserve"> DATA </w:t>
      </w:r>
      <w:proofErr w:type="gramStart"/>
      <w:r w:rsidR="00170B08">
        <w:rPr>
          <w:b/>
          <w:bCs/>
        </w:rPr>
        <w:t>ANALYSIS  AND</w:t>
      </w:r>
      <w:proofErr w:type="gramEnd"/>
      <w:r w:rsidR="00170B08">
        <w:rPr>
          <w:b/>
          <w:bCs/>
        </w:rPr>
        <w:t xml:space="preserve">  INTERPRETATION</w:t>
      </w:r>
    </w:p>
    <w:p w14:paraId="2F8015F3" w14:textId="77777777" w:rsidR="00FB3DB9" w:rsidRDefault="00FB3DB9" w:rsidP="000B78C0">
      <w:pPr>
        <w:tabs>
          <w:tab w:val="left" w:pos="3380"/>
        </w:tabs>
        <w:rPr>
          <w:b/>
          <w:bCs/>
        </w:rPr>
      </w:pPr>
    </w:p>
    <w:p w14:paraId="0EC408ED" w14:textId="77777777" w:rsidR="00212483" w:rsidRDefault="00212483" w:rsidP="000B78C0">
      <w:pPr>
        <w:tabs>
          <w:tab w:val="left" w:pos="3380"/>
        </w:tabs>
        <w:rPr>
          <w:b/>
          <w:bCs/>
        </w:rPr>
      </w:pPr>
    </w:p>
    <w:p w14:paraId="58038E87" w14:textId="2F9708B2" w:rsidR="001375E3" w:rsidRPr="00937565" w:rsidRDefault="001375E3" w:rsidP="000B78C0">
      <w:pPr>
        <w:tabs>
          <w:tab w:val="left" w:pos="3380"/>
        </w:tabs>
      </w:pPr>
      <w:r w:rsidRPr="00937565">
        <w:t xml:space="preserve">Statistical Software Used: </w:t>
      </w:r>
      <w:r w:rsidR="00937565">
        <w:t xml:space="preserve"> </w:t>
      </w:r>
      <w:r w:rsidRPr="00937565">
        <w:t>Data were analyzed using Microsoft Excel and SPSS.</w:t>
      </w:r>
    </w:p>
    <w:p w14:paraId="49E0365F" w14:textId="1E800E96" w:rsidR="001375E3" w:rsidRPr="00937565" w:rsidRDefault="001375E3" w:rsidP="000B78C0">
      <w:pPr>
        <w:tabs>
          <w:tab w:val="left" w:pos="3380"/>
        </w:tabs>
      </w:pPr>
      <w:r w:rsidRPr="00937565">
        <w:t>Analysis Methods:</w:t>
      </w:r>
      <w:r w:rsidR="00FE50C2">
        <w:t xml:space="preserve"> </w:t>
      </w:r>
      <w:r w:rsidRPr="00937565">
        <w:t>Descriptive statistics (frequency, percentage) to measure awareness, training, and confidence levels.</w:t>
      </w:r>
    </w:p>
    <w:p w14:paraId="49BC4DC9" w14:textId="77777777" w:rsidR="001375E3" w:rsidRPr="00937565" w:rsidRDefault="001375E3" w:rsidP="000B78C0">
      <w:pPr>
        <w:tabs>
          <w:tab w:val="left" w:pos="3380"/>
        </w:tabs>
      </w:pPr>
      <w:r w:rsidRPr="00937565">
        <w:t>Cross-tabulations to examine relationships between variables (e.g., training vs. practice application).</w:t>
      </w:r>
    </w:p>
    <w:p w14:paraId="35ECA65F" w14:textId="77777777" w:rsidR="001375E3" w:rsidRPr="00937565" w:rsidRDefault="001375E3" w:rsidP="000B78C0">
      <w:pPr>
        <w:tabs>
          <w:tab w:val="left" w:pos="3380"/>
        </w:tabs>
      </w:pPr>
      <w:r w:rsidRPr="00937565">
        <w:t>Inferential statistics (Chi-square test, if applicable) to test hypotheses related to gender competence levels.</w:t>
      </w:r>
    </w:p>
    <w:p w14:paraId="1694572A" w14:textId="13694F34" w:rsidR="00161F51" w:rsidRDefault="00D3136E" w:rsidP="000B78C0">
      <w:pPr>
        <w:tabs>
          <w:tab w:val="left" w:pos="3380"/>
        </w:tabs>
      </w:pPr>
      <w:r w:rsidRPr="00937565">
        <w:t>Interpretation: Each table was interpreted qualitatively to highlight practical implications, discrepancies between training and application, and areas needing improvement.</w:t>
      </w:r>
    </w:p>
    <w:p w14:paraId="482592E2" w14:textId="77777777" w:rsidR="00917124" w:rsidRDefault="00917124" w:rsidP="000B78C0">
      <w:pPr>
        <w:tabs>
          <w:tab w:val="left" w:pos="3380"/>
        </w:tabs>
      </w:pPr>
    </w:p>
    <w:p w14:paraId="6BF6CF57" w14:textId="77777777" w:rsidR="00212483" w:rsidRPr="00937565" w:rsidRDefault="00212483" w:rsidP="000B78C0">
      <w:pPr>
        <w:tabs>
          <w:tab w:val="left" w:pos="3380"/>
        </w:tabs>
      </w:pPr>
    </w:p>
    <w:p w14:paraId="00ECF9FE" w14:textId="3AC96042" w:rsidR="00170B08" w:rsidRDefault="00CF5936" w:rsidP="000B78C0">
      <w:pPr>
        <w:tabs>
          <w:tab w:val="left" w:pos="3380"/>
        </w:tabs>
        <w:rPr>
          <w:b/>
          <w:bCs/>
        </w:rPr>
      </w:pPr>
      <w:r>
        <w:rPr>
          <w:b/>
          <w:bCs/>
        </w:rPr>
        <w:t>LIMITATIONS</w:t>
      </w:r>
    </w:p>
    <w:p w14:paraId="3A2CF144" w14:textId="77777777" w:rsidR="00917124" w:rsidRDefault="00917124" w:rsidP="000B78C0">
      <w:pPr>
        <w:tabs>
          <w:tab w:val="left" w:pos="3380"/>
        </w:tabs>
        <w:rPr>
          <w:b/>
          <w:bCs/>
        </w:rPr>
      </w:pPr>
    </w:p>
    <w:p w14:paraId="2FD297EA" w14:textId="16A5D55F" w:rsidR="00912676" w:rsidRPr="00E163DE" w:rsidRDefault="00912676" w:rsidP="000B78C0">
      <w:pPr>
        <w:tabs>
          <w:tab w:val="left" w:pos="3380"/>
        </w:tabs>
      </w:pPr>
      <w:r w:rsidRPr="00E163DE">
        <w:t>Geographic Scope: The study is limited to MSW students under MG University, Kerala, which may not reflect broader regional or national trends.</w:t>
      </w:r>
    </w:p>
    <w:p w14:paraId="45BAB7CD" w14:textId="1D6630B8" w:rsidR="00912676" w:rsidRPr="00E163DE" w:rsidRDefault="00912676" w:rsidP="000B78C0">
      <w:pPr>
        <w:tabs>
          <w:tab w:val="left" w:pos="3380"/>
        </w:tabs>
      </w:pPr>
      <w:r w:rsidRPr="00E163DE">
        <w:t>Self-Reported Data: Data are based on self-assessment, which may be subject to social desirability bias.</w:t>
      </w:r>
    </w:p>
    <w:p w14:paraId="1090274B" w14:textId="14B0A025" w:rsidR="00912676" w:rsidRPr="00E163DE" w:rsidRDefault="00912676" w:rsidP="000B78C0">
      <w:pPr>
        <w:tabs>
          <w:tab w:val="left" w:pos="3380"/>
        </w:tabs>
      </w:pPr>
      <w:r w:rsidRPr="00E163DE">
        <w:t>Non-Longitudinal: The study captures responses at a single point in time; longitudinal insights into competency development over time are not addressed.</w:t>
      </w:r>
    </w:p>
    <w:p w14:paraId="0540235E" w14:textId="77777777" w:rsidR="00912676" w:rsidRPr="00E163DE" w:rsidRDefault="00912676" w:rsidP="000B78C0">
      <w:pPr>
        <w:tabs>
          <w:tab w:val="left" w:pos="3380"/>
        </w:tabs>
      </w:pPr>
      <w:r w:rsidRPr="00E163DE">
        <w:t>Exclusion of Qualitative Insights: As a purely quantitative study, in-depth perspectives or lived experiences of students were not captured.</w:t>
      </w:r>
    </w:p>
    <w:p w14:paraId="6429B1F0" w14:textId="37BA602F" w:rsidR="00716BDC" w:rsidRDefault="00716BDC" w:rsidP="00E163DE">
      <w:pPr>
        <w:tabs>
          <w:tab w:val="left" w:pos="3380"/>
        </w:tabs>
      </w:pPr>
    </w:p>
    <w:p w14:paraId="19EBBD8B" w14:textId="77777777" w:rsidR="00C16374" w:rsidRDefault="00C16374" w:rsidP="00E163DE">
      <w:pPr>
        <w:tabs>
          <w:tab w:val="left" w:pos="3380"/>
        </w:tabs>
      </w:pPr>
    </w:p>
    <w:p w14:paraId="5BD3468B" w14:textId="77777777" w:rsidR="00C16374" w:rsidRDefault="00C16374" w:rsidP="00E163DE">
      <w:pPr>
        <w:tabs>
          <w:tab w:val="left" w:pos="3380"/>
        </w:tabs>
      </w:pPr>
    </w:p>
    <w:p w14:paraId="6C1C4278" w14:textId="77777777" w:rsidR="00C16374" w:rsidRDefault="00C16374" w:rsidP="00E163DE">
      <w:pPr>
        <w:tabs>
          <w:tab w:val="left" w:pos="3380"/>
        </w:tabs>
      </w:pPr>
    </w:p>
    <w:p w14:paraId="0069757D" w14:textId="65DFD4D1" w:rsidR="00655EC5" w:rsidRDefault="00655EC5" w:rsidP="00C866E9">
      <w:pPr>
        <w:tabs>
          <w:tab w:val="left" w:pos="3380"/>
        </w:tabs>
      </w:pPr>
    </w:p>
    <w:p w14:paraId="18948F38" w14:textId="667C22CA" w:rsidR="00655EC5" w:rsidRPr="00212483" w:rsidRDefault="00655EC5" w:rsidP="00212483">
      <w:pPr>
        <w:pStyle w:val="ListParagraph"/>
        <w:tabs>
          <w:tab w:val="left" w:pos="3380"/>
        </w:tabs>
        <w:rPr>
          <w:b/>
          <w:bCs/>
        </w:rPr>
      </w:pPr>
      <w:r w:rsidRPr="00C866E9">
        <w:rPr>
          <w:b/>
          <w:bCs/>
        </w:rPr>
        <w:t>CHAPTERISATION</w:t>
      </w:r>
    </w:p>
    <w:p w14:paraId="40D570AC" w14:textId="2A9D1FA2" w:rsidR="00655EC5" w:rsidRDefault="00655EC5" w:rsidP="00C16374">
      <w:pPr>
        <w:pStyle w:val="ListParagraph"/>
        <w:tabs>
          <w:tab w:val="left" w:pos="3380"/>
        </w:tabs>
      </w:pPr>
      <w:r>
        <w:t>CHAPTER 1-INTRODUCATION</w:t>
      </w:r>
    </w:p>
    <w:p w14:paraId="41009C7C" w14:textId="0BCA7BE4" w:rsidR="00655EC5" w:rsidRDefault="00655EC5" w:rsidP="00C16374">
      <w:pPr>
        <w:pStyle w:val="ListParagraph"/>
        <w:tabs>
          <w:tab w:val="left" w:pos="3380"/>
        </w:tabs>
      </w:pPr>
      <w:r>
        <w:t>CHAPTER 2-REVIEW OF LITERATURE</w:t>
      </w:r>
    </w:p>
    <w:p w14:paraId="021856AF" w14:textId="05C89FA6" w:rsidR="00655EC5" w:rsidRDefault="00655EC5" w:rsidP="00C16374">
      <w:pPr>
        <w:pStyle w:val="ListParagraph"/>
        <w:tabs>
          <w:tab w:val="left" w:pos="3380"/>
        </w:tabs>
      </w:pPr>
      <w:r>
        <w:t>CHAPTER 3- RESEACH METHODOLOGY</w:t>
      </w:r>
    </w:p>
    <w:p w14:paraId="0306656A" w14:textId="3628A2AF" w:rsidR="00655EC5" w:rsidRDefault="00655EC5" w:rsidP="00C16374">
      <w:pPr>
        <w:pStyle w:val="ListParagraph"/>
        <w:tabs>
          <w:tab w:val="left" w:pos="3380"/>
        </w:tabs>
      </w:pPr>
      <w:r>
        <w:t xml:space="preserve">CHAPTER 4- DATA ANAYSIS AND INTERPRETATION </w:t>
      </w:r>
    </w:p>
    <w:p w14:paraId="276D40D7" w14:textId="6D8EE00A" w:rsidR="00655EC5" w:rsidRDefault="00655EC5" w:rsidP="00B11E52">
      <w:pPr>
        <w:pStyle w:val="ListParagraph"/>
        <w:tabs>
          <w:tab w:val="left" w:pos="3380"/>
        </w:tabs>
      </w:pPr>
      <w:r>
        <w:t xml:space="preserve">CHAPTER 5 – </w:t>
      </w:r>
      <w:r w:rsidR="00C866E9">
        <w:t>FINDINGS</w:t>
      </w:r>
      <w:r w:rsidR="002A49A0">
        <w:t xml:space="preserve">, RECOMMENDATION, IMPLICATIONS FOR </w:t>
      </w:r>
      <w:r w:rsidR="00C45F40">
        <w:t>PROFESSIONAL SOCIAL WORK PRACTICE.</w:t>
      </w:r>
    </w:p>
    <w:p w14:paraId="077F80B5" w14:textId="77777777" w:rsidR="00655EC5" w:rsidRDefault="00655EC5" w:rsidP="00EB3EE8">
      <w:pPr>
        <w:tabs>
          <w:tab w:val="left" w:pos="3380"/>
        </w:tabs>
      </w:pPr>
    </w:p>
    <w:p w14:paraId="06914898" w14:textId="261F31EF" w:rsidR="005C4244" w:rsidRPr="005C4244" w:rsidRDefault="00171E8D" w:rsidP="005C4244">
      <w:pPr>
        <w:pStyle w:val="ListParagraph"/>
        <w:tabs>
          <w:tab w:val="left" w:pos="3380"/>
        </w:tabs>
        <w:rPr>
          <w:b/>
          <w:bCs/>
        </w:rPr>
      </w:pPr>
      <w:r w:rsidRPr="00171E8D">
        <w:rPr>
          <w:b/>
          <w:bCs/>
        </w:rPr>
        <w:t>ETHICAL CONSIDERATIONS OF RESEARCH.</w:t>
      </w:r>
    </w:p>
    <w:p w14:paraId="0E9AABD7" w14:textId="77777777" w:rsidR="005C4244" w:rsidRDefault="005C4244" w:rsidP="00B11E52">
      <w:pPr>
        <w:pStyle w:val="ListParagraph"/>
        <w:tabs>
          <w:tab w:val="left" w:pos="3380"/>
        </w:tabs>
      </w:pPr>
    </w:p>
    <w:p w14:paraId="5EBF088E" w14:textId="77777777" w:rsidR="005C4244" w:rsidRDefault="005C4244" w:rsidP="00B11E52">
      <w:pPr>
        <w:pStyle w:val="ListParagraph"/>
        <w:tabs>
          <w:tab w:val="left" w:pos="3380"/>
        </w:tabs>
      </w:pPr>
      <w:r>
        <w:t xml:space="preserve">Ethical considerations are central to conducting responsible and respectful social research, particularly when dealing with sensitive issues such as gender-based violence and inequality. This study, which assesses the gender competencies of final-year Master of Social Work (MSW) students under MG University, Kerala, adheres to fundamental ethical principles to protect the dignity, rights, and well-being of all participants. Prior to data collection, informed consent was obtained from each respondent. Participants were clearly informed about the nature, objectives, and voluntary nature of the study, ensuring their autonomy in choosing to participate. Confidentiality was strictly maintained throughout the research process; no personally identifiable information was collected or disclosed, and data were used solely for academic purposes. To minimize harm, the questionnaire was designed to avoid intrusive or triggering questions, particularly regarding gender-based violence. Respondents were assured of their right to withdraw from the study at any point without facing any negative consequences. Furthermore, the research was conducted with sensitivity to power dynamics and cultural norms, particularly considering that participants are trainee professionals engaging in fieldwork in diverse community settings. The researcher upheld values of respect, non-judgment, and neutrality, ensuring that the voices of participants were heard authentically and without coercion. Ethical approval for the study was obtained from relevant academic authorities, and all procedures followed the professional codes of ethics in social work and human subject research. These ethical safeguards collectively ensured that the </w:t>
      </w:r>
      <w:r>
        <w:lastRenderedPageBreak/>
        <w:t>study was conducted with integrity, fairness, and a commitment to social justice—values that are foundational to both social work and gender-equity research.</w:t>
      </w:r>
    </w:p>
    <w:p w14:paraId="61B82B4A" w14:textId="77777777" w:rsidR="005C4244" w:rsidRDefault="005C4244" w:rsidP="00B11E52">
      <w:pPr>
        <w:pStyle w:val="ListParagraph"/>
        <w:tabs>
          <w:tab w:val="left" w:pos="3380"/>
        </w:tabs>
      </w:pPr>
    </w:p>
    <w:p w14:paraId="0654707A" w14:textId="77777777" w:rsidR="00655EC5" w:rsidRDefault="00655EC5" w:rsidP="00B11E52">
      <w:pPr>
        <w:pStyle w:val="ListParagraph"/>
        <w:tabs>
          <w:tab w:val="left" w:pos="3380"/>
        </w:tabs>
      </w:pPr>
    </w:p>
    <w:p w14:paraId="706B9CA8" w14:textId="77777777" w:rsidR="00655EC5" w:rsidRDefault="00655EC5" w:rsidP="00B11E52">
      <w:pPr>
        <w:pStyle w:val="ListParagraph"/>
        <w:tabs>
          <w:tab w:val="left" w:pos="3380"/>
        </w:tabs>
      </w:pPr>
    </w:p>
    <w:p w14:paraId="4E693DC7" w14:textId="77777777" w:rsidR="005F32B5" w:rsidRDefault="005F32B5" w:rsidP="00B11E52">
      <w:pPr>
        <w:pStyle w:val="ListParagraph"/>
        <w:tabs>
          <w:tab w:val="left" w:pos="3380"/>
        </w:tabs>
      </w:pPr>
    </w:p>
    <w:p w14:paraId="13BEB6CC" w14:textId="77777777" w:rsidR="005F32B5" w:rsidRDefault="005F32B5" w:rsidP="00B11E52">
      <w:pPr>
        <w:pStyle w:val="ListParagraph"/>
        <w:tabs>
          <w:tab w:val="left" w:pos="3380"/>
        </w:tabs>
      </w:pPr>
    </w:p>
    <w:p w14:paraId="7BD872CF" w14:textId="77777777" w:rsidR="005F32B5" w:rsidRDefault="005F32B5" w:rsidP="00B11E52">
      <w:pPr>
        <w:pStyle w:val="ListParagraph"/>
        <w:tabs>
          <w:tab w:val="left" w:pos="3380"/>
        </w:tabs>
      </w:pPr>
    </w:p>
    <w:p w14:paraId="19DF74FF" w14:textId="77777777" w:rsidR="005F32B5" w:rsidRDefault="005F32B5" w:rsidP="00B11E52">
      <w:pPr>
        <w:pStyle w:val="ListParagraph"/>
        <w:tabs>
          <w:tab w:val="left" w:pos="3380"/>
        </w:tabs>
      </w:pPr>
    </w:p>
    <w:p w14:paraId="64A3AF31" w14:textId="77777777" w:rsidR="005F32B5" w:rsidRDefault="005F32B5" w:rsidP="00B11E52">
      <w:pPr>
        <w:pStyle w:val="ListParagraph"/>
        <w:tabs>
          <w:tab w:val="left" w:pos="3380"/>
        </w:tabs>
      </w:pPr>
    </w:p>
    <w:p w14:paraId="2ABFAA4A" w14:textId="77777777" w:rsidR="00EB3EE8" w:rsidRDefault="00EB3EE8" w:rsidP="00EB3EE8">
      <w:pPr>
        <w:pStyle w:val="ListParagraph"/>
        <w:tabs>
          <w:tab w:val="left" w:pos="3380"/>
        </w:tabs>
        <w:rPr>
          <w:b/>
          <w:bCs/>
          <w:sz w:val="40"/>
          <w:szCs w:val="40"/>
        </w:rPr>
      </w:pPr>
      <w:r>
        <w:rPr>
          <w:b/>
          <w:bCs/>
          <w:sz w:val="40"/>
          <w:szCs w:val="40"/>
        </w:rPr>
        <w:t xml:space="preserve">         </w:t>
      </w:r>
    </w:p>
    <w:p w14:paraId="647A44DE" w14:textId="77777777" w:rsidR="00EB3EE8" w:rsidRDefault="00EB3EE8" w:rsidP="00EB3EE8">
      <w:pPr>
        <w:pStyle w:val="ListParagraph"/>
        <w:tabs>
          <w:tab w:val="left" w:pos="3380"/>
        </w:tabs>
        <w:rPr>
          <w:b/>
          <w:bCs/>
          <w:sz w:val="40"/>
          <w:szCs w:val="40"/>
        </w:rPr>
      </w:pPr>
      <w:r>
        <w:rPr>
          <w:b/>
          <w:bCs/>
          <w:sz w:val="40"/>
          <w:szCs w:val="40"/>
        </w:rPr>
        <w:t xml:space="preserve">              </w:t>
      </w:r>
    </w:p>
    <w:p w14:paraId="3BAF673B" w14:textId="77777777" w:rsidR="00EB3EE8" w:rsidRDefault="00EB3EE8" w:rsidP="00EB3EE8">
      <w:pPr>
        <w:pStyle w:val="ListParagraph"/>
        <w:tabs>
          <w:tab w:val="left" w:pos="3380"/>
        </w:tabs>
        <w:rPr>
          <w:b/>
          <w:bCs/>
          <w:sz w:val="40"/>
          <w:szCs w:val="40"/>
        </w:rPr>
      </w:pPr>
    </w:p>
    <w:p w14:paraId="7F6E5C4E" w14:textId="187550B3" w:rsidR="00EB3EE8" w:rsidRDefault="00EB3EE8" w:rsidP="00EB3EE8">
      <w:pPr>
        <w:pStyle w:val="ListParagraph"/>
        <w:tabs>
          <w:tab w:val="left" w:pos="3380"/>
        </w:tabs>
        <w:rPr>
          <w:b/>
          <w:bCs/>
          <w:sz w:val="40"/>
          <w:szCs w:val="40"/>
        </w:rPr>
      </w:pPr>
      <w:r>
        <w:rPr>
          <w:b/>
          <w:bCs/>
          <w:sz w:val="40"/>
          <w:szCs w:val="40"/>
        </w:rPr>
        <w:t xml:space="preserve">                   </w:t>
      </w:r>
      <w:r w:rsidRPr="00EB3EE8">
        <w:rPr>
          <w:b/>
          <w:bCs/>
          <w:sz w:val="40"/>
          <w:szCs w:val="40"/>
        </w:rPr>
        <w:t>CHAPTER – 4</w:t>
      </w:r>
    </w:p>
    <w:p w14:paraId="44A90187" w14:textId="609CEE49" w:rsidR="00EB3EE8" w:rsidRPr="00EB3EE8" w:rsidRDefault="00EB3EE8" w:rsidP="00EB3EE8">
      <w:pPr>
        <w:pStyle w:val="ListParagraph"/>
        <w:tabs>
          <w:tab w:val="left" w:pos="3380"/>
        </w:tabs>
        <w:rPr>
          <w:b/>
          <w:bCs/>
          <w:sz w:val="40"/>
          <w:szCs w:val="40"/>
        </w:rPr>
      </w:pPr>
      <w:r w:rsidRPr="00EB3EE8">
        <w:rPr>
          <w:b/>
          <w:bCs/>
          <w:sz w:val="40"/>
          <w:szCs w:val="40"/>
        </w:rPr>
        <w:t>ANALYSIS AND INTERPRETATION</w:t>
      </w:r>
    </w:p>
    <w:p w14:paraId="22AC74BB" w14:textId="77777777" w:rsidR="00EB3EE8" w:rsidRPr="00EB3EE8" w:rsidRDefault="00EB3EE8" w:rsidP="00B11E52">
      <w:pPr>
        <w:pStyle w:val="ListParagraph"/>
        <w:tabs>
          <w:tab w:val="left" w:pos="3380"/>
        </w:tabs>
        <w:rPr>
          <w:b/>
          <w:bCs/>
          <w:sz w:val="40"/>
          <w:szCs w:val="40"/>
        </w:rPr>
      </w:pPr>
    </w:p>
    <w:p w14:paraId="4D06F7DC" w14:textId="77777777" w:rsidR="00EB3EE8" w:rsidRDefault="00EB3EE8" w:rsidP="00B11E52">
      <w:pPr>
        <w:pStyle w:val="ListParagraph"/>
        <w:tabs>
          <w:tab w:val="left" w:pos="3380"/>
        </w:tabs>
      </w:pPr>
    </w:p>
    <w:p w14:paraId="749C3F43" w14:textId="77777777" w:rsidR="005F32B5" w:rsidRDefault="005F32B5" w:rsidP="00B11E52">
      <w:pPr>
        <w:pStyle w:val="ListParagraph"/>
        <w:tabs>
          <w:tab w:val="left" w:pos="3380"/>
        </w:tabs>
      </w:pPr>
    </w:p>
    <w:p w14:paraId="45C59AEB" w14:textId="77777777" w:rsidR="005F32B5" w:rsidRDefault="005F32B5" w:rsidP="00B11E52">
      <w:pPr>
        <w:pStyle w:val="ListParagraph"/>
        <w:tabs>
          <w:tab w:val="left" w:pos="3380"/>
        </w:tabs>
      </w:pPr>
    </w:p>
    <w:p w14:paraId="2FD1D5D1" w14:textId="77777777" w:rsidR="005F32B5" w:rsidRDefault="005F32B5" w:rsidP="00B11E52">
      <w:pPr>
        <w:pStyle w:val="ListParagraph"/>
        <w:tabs>
          <w:tab w:val="left" w:pos="3380"/>
        </w:tabs>
      </w:pPr>
    </w:p>
    <w:p w14:paraId="657FDC14" w14:textId="77777777" w:rsidR="005F32B5" w:rsidRDefault="005F32B5" w:rsidP="00B11E52">
      <w:pPr>
        <w:pStyle w:val="ListParagraph"/>
        <w:tabs>
          <w:tab w:val="left" w:pos="3380"/>
        </w:tabs>
      </w:pPr>
    </w:p>
    <w:p w14:paraId="05FAC16C" w14:textId="77777777" w:rsidR="005F32B5" w:rsidRDefault="005F32B5" w:rsidP="00B11E52">
      <w:pPr>
        <w:pStyle w:val="ListParagraph"/>
        <w:tabs>
          <w:tab w:val="left" w:pos="3380"/>
        </w:tabs>
      </w:pPr>
    </w:p>
    <w:p w14:paraId="105FB17B" w14:textId="77777777" w:rsidR="005F32B5" w:rsidRDefault="005F32B5" w:rsidP="00B11E52">
      <w:pPr>
        <w:pStyle w:val="ListParagraph"/>
        <w:tabs>
          <w:tab w:val="left" w:pos="3380"/>
        </w:tabs>
      </w:pPr>
    </w:p>
    <w:p w14:paraId="6F5B29C2" w14:textId="77777777" w:rsidR="005F32B5" w:rsidRDefault="005F32B5" w:rsidP="00B11E52">
      <w:pPr>
        <w:pStyle w:val="ListParagraph"/>
        <w:tabs>
          <w:tab w:val="left" w:pos="3380"/>
        </w:tabs>
      </w:pPr>
    </w:p>
    <w:p w14:paraId="0938F3E1" w14:textId="77777777" w:rsidR="005F32B5" w:rsidRDefault="005F32B5" w:rsidP="00B11E52">
      <w:pPr>
        <w:pStyle w:val="ListParagraph"/>
        <w:tabs>
          <w:tab w:val="left" w:pos="3380"/>
        </w:tabs>
      </w:pPr>
    </w:p>
    <w:p w14:paraId="734B2CA9" w14:textId="77777777" w:rsidR="005F32B5" w:rsidRDefault="005F32B5" w:rsidP="00B11E52">
      <w:pPr>
        <w:pStyle w:val="ListParagraph"/>
        <w:tabs>
          <w:tab w:val="left" w:pos="3380"/>
        </w:tabs>
      </w:pPr>
    </w:p>
    <w:p w14:paraId="009EA0DF" w14:textId="77777777" w:rsidR="005F32B5" w:rsidRDefault="005F32B5" w:rsidP="00B11E52">
      <w:pPr>
        <w:pStyle w:val="ListParagraph"/>
        <w:tabs>
          <w:tab w:val="left" w:pos="3380"/>
        </w:tabs>
      </w:pPr>
    </w:p>
    <w:p w14:paraId="4CBAEAAD" w14:textId="77777777" w:rsidR="005F32B5" w:rsidRDefault="005F32B5" w:rsidP="00B11E52">
      <w:pPr>
        <w:pStyle w:val="ListParagraph"/>
        <w:tabs>
          <w:tab w:val="left" w:pos="3380"/>
        </w:tabs>
      </w:pPr>
    </w:p>
    <w:p w14:paraId="0EE54570" w14:textId="77777777" w:rsidR="005F32B5" w:rsidRDefault="005F32B5" w:rsidP="00B11E52">
      <w:pPr>
        <w:pStyle w:val="ListParagraph"/>
        <w:tabs>
          <w:tab w:val="left" w:pos="3380"/>
        </w:tabs>
      </w:pPr>
    </w:p>
    <w:p w14:paraId="32C6154C" w14:textId="77777777" w:rsidR="007F5642" w:rsidRDefault="007F5642" w:rsidP="00B11E52">
      <w:pPr>
        <w:pStyle w:val="ListParagraph"/>
        <w:tabs>
          <w:tab w:val="left" w:pos="3380"/>
        </w:tabs>
      </w:pPr>
    </w:p>
    <w:p w14:paraId="4E66FCF6" w14:textId="77777777" w:rsidR="007F5642" w:rsidRDefault="007F5642" w:rsidP="00B11E52">
      <w:pPr>
        <w:pStyle w:val="ListParagraph"/>
        <w:tabs>
          <w:tab w:val="left" w:pos="3380"/>
        </w:tabs>
      </w:pPr>
    </w:p>
    <w:p w14:paraId="477886AB" w14:textId="77777777" w:rsidR="005F32B5" w:rsidRDefault="005F32B5" w:rsidP="00B11E52">
      <w:pPr>
        <w:pStyle w:val="ListParagraph"/>
        <w:tabs>
          <w:tab w:val="left" w:pos="3380"/>
        </w:tabs>
      </w:pPr>
    </w:p>
    <w:p w14:paraId="427CC559" w14:textId="77777777" w:rsidR="005F32B5" w:rsidRDefault="005F32B5" w:rsidP="00B11E52">
      <w:pPr>
        <w:pStyle w:val="ListParagraph"/>
        <w:tabs>
          <w:tab w:val="left" w:pos="3380"/>
        </w:tabs>
      </w:pPr>
    </w:p>
    <w:p w14:paraId="25B2F8C2" w14:textId="77777777" w:rsidR="005F32B5" w:rsidRDefault="005F32B5" w:rsidP="00B11E52">
      <w:pPr>
        <w:pStyle w:val="ListParagraph"/>
        <w:tabs>
          <w:tab w:val="left" w:pos="3380"/>
        </w:tabs>
      </w:pPr>
    </w:p>
    <w:p w14:paraId="6E6DFC81" w14:textId="3683BE2C" w:rsidR="005F79B9" w:rsidRPr="007F5642" w:rsidRDefault="005F79B9" w:rsidP="00585AEC">
      <w:pPr>
        <w:tabs>
          <w:tab w:val="left" w:pos="3380"/>
        </w:tabs>
        <w:rPr>
          <w:b/>
          <w:bCs/>
        </w:rPr>
      </w:pPr>
      <w:r w:rsidRPr="007F5642">
        <w:rPr>
          <w:b/>
          <w:bCs/>
        </w:rPr>
        <w:t>INTRODUCTION</w:t>
      </w:r>
    </w:p>
    <w:p w14:paraId="0C7CE33E" w14:textId="77777777" w:rsidR="005F79B9" w:rsidRDefault="005F79B9" w:rsidP="00260D35">
      <w:pPr>
        <w:pStyle w:val="ListParagraph"/>
        <w:tabs>
          <w:tab w:val="left" w:pos="3380"/>
        </w:tabs>
      </w:pPr>
    </w:p>
    <w:p w14:paraId="2E267719" w14:textId="77777777" w:rsidR="005F79B9" w:rsidRDefault="005F79B9" w:rsidP="00260D35">
      <w:pPr>
        <w:pStyle w:val="ListParagraph"/>
        <w:tabs>
          <w:tab w:val="left" w:pos="3380"/>
        </w:tabs>
      </w:pPr>
      <w:r>
        <w:t>The present chapter focuses on the analysis and interpretation of the empirical data collected from final-year MSW students affiliated with Mahatma Gandhi University, Kerala. It aims to provide a structured understanding of their gender competencies—specifically their knowledge, skills, attitudes, and practices related to addressing gender inequalities and gender-based violence (GBV). Drawing upon the theoretical framework established by UNESCO and supported by previous literature, this chapter systematically examines the extent to which students are equipped to recognize, respond to, and advocate against gender injustice in diverse professional settings.</w:t>
      </w:r>
    </w:p>
    <w:p w14:paraId="14B3CF0E" w14:textId="77777777" w:rsidR="005F79B9" w:rsidRDefault="005F79B9" w:rsidP="00260D35">
      <w:pPr>
        <w:pStyle w:val="ListParagraph"/>
        <w:tabs>
          <w:tab w:val="left" w:pos="3380"/>
        </w:tabs>
      </w:pPr>
    </w:p>
    <w:p w14:paraId="511AFED0" w14:textId="77777777" w:rsidR="005F79B9" w:rsidRDefault="005F79B9" w:rsidP="00260D35">
      <w:pPr>
        <w:pStyle w:val="ListParagraph"/>
        <w:tabs>
          <w:tab w:val="left" w:pos="3380"/>
        </w:tabs>
      </w:pPr>
      <w:r>
        <w:t>The data were gathered through a structured survey administered to 100 respondents and are presented in the form of frequency tables, percentages, and thematic observations. This chapter interprets the data not merely as isolated statistics but within the broader context of social work education, community engagement, and professional readiness. Patterns and trends are explored to assess the effectiveness of formal training, institutional support, and fieldwork experiences in shaping gender-sensitive social workers.</w:t>
      </w:r>
    </w:p>
    <w:p w14:paraId="13AE4A48" w14:textId="77777777" w:rsidR="005F79B9" w:rsidRDefault="005F79B9" w:rsidP="00260D35">
      <w:pPr>
        <w:pStyle w:val="ListParagraph"/>
        <w:tabs>
          <w:tab w:val="left" w:pos="3380"/>
        </w:tabs>
      </w:pPr>
    </w:p>
    <w:p w14:paraId="20646208" w14:textId="77777777" w:rsidR="005F79B9" w:rsidRDefault="005F79B9" w:rsidP="00260D35">
      <w:pPr>
        <w:pStyle w:val="ListParagraph"/>
        <w:tabs>
          <w:tab w:val="left" w:pos="3380"/>
        </w:tabs>
      </w:pPr>
      <w:r>
        <w:t>Special attention is given to areas where awareness is high but practical application may lag, highlighting critical gaps between theoretical knowledge and field-level interventions. The chapter also identifies structural and contextual challenges faced by students—such as resource constraints and cultural resistance—that influence their ability to engage effectively with gender issues.</w:t>
      </w:r>
    </w:p>
    <w:p w14:paraId="46119763" w14:textId="77777777" w:rsidR="005F79B9" w:rsidRDefault="005F79B9" w:rsidP="00260D35">
      <w:pPr>
        <w:pStyle w:val="ListParagraph"/>
        <w:tabs>
          <w:tab w:val="left" w:pos="3380"/>
        </w:tabs>
      </w:pPr>
    </w:p>
    <w:p w14:paraId="0D160403" w14:textId="4ACDA107" w:rsidR="005F79B9" w:rsidRDefault="005F79B9" w:rsidP="00585AEC">
      <w:pPr>
        <w:pStyle w:val="ListParagraph"/>
        <w:tabs>
          <w:tab w:val="left" w:pos="3380"/>
        </w:tabs>
      </w:pPr>
      <w:r>
        <w:t>By analyzing the intersections of awareness, training, practice, and perceived responsibilities, this chapter provides valuable insights that inform both the immediate objectives of this research and the broader goal of enhancing social work education for gender justice.</w:t>
      </w:r>
    </w:p>
    <w:p w14:paraId="09C42A0C" w14:textId="2313E39C" w:rsidR="00F146CF" w:rsidRDefault="00F146CF" w:rsidP="00DE7D52">
      <w:pPr>
        <w:tabs>
          <w:tab w:val="left" w:pos="3380"/>
        </w:tabs>
      </w:pPr>
    </w:p>
    <w:p w14:paraId="696EEAA1" w14:textId="77777777" w:rsidR="00F146CF" w:rsidRDefault="00F146CF" w:rsidP="00260D35">
      <w:pPr>
        <w:pStyle w:val="ListParagraph"/>
        <w:tabs>
          <w:tab w:val="left" w:pos="3380"/>
        </w:tabs>
      </w:pPr>
    </w:p>
    <w:p w14:paraId="383674C3" w14:textId="77777777" w:rsidR="00F146CF" w:rsidRDefault="00F146CF" w:rsidP="00260D35">
      <w:pPr>
        <w:pStyle w:val="ListParagraph"/>
        <w:tabs>
          <w:tab w:val="left" w:pos="3380"/>
        </w:tabs>
      </w:pPr>
    </w:p>
    <w:p w14:paraId="19D6EA84" w14:textId="77777777" w:rsidR="00F146CF" w:rsidRDefault="00F146CF" w:rsidP="00260D35">
      <w:pPr>
        <w:pStyle w:val="ListParagraph"/>
        <w:tabs>
          <w:tab w:val="left" w:pos="3380"/>
        </w:tabs>
      </w:pPr>
    </w:p>
    <w:p w14:paraId="548BC109" w14:textId="77777777" w:rsidR="00F146CF" w:rsidRDefault="00F146CF" w:rsidP="00260D35">
      <w:pPr>
        <w:pStyle w:val="ListParagraph"/>
        <w:tabs>
          <w:tab w:val="left" w:pos="3380"/>
        </w:tabs>
      </w:pPr>
    </w:p>
    <w:p w14:paraId="6A0D83A6" w14:textId="77777777" w:rsidR="00F146CF" w:rsidRDefault="00F146CF" w:rsidP="00260D35">
      <w:pPr>
        <w:pStyle w:val="ListParagraph"/>
        <w:tabs>
          <w:tab w:val="left" w:pos="3380"/>
        </w:tabs>
      </w:pPr>
    </w:p>
    <w:p w14:paraId="3CE9C969" w14:textId="3952EA66" w:rsidR="005D1391" w:rsidRDefault="005D1391" w:rsidP="00260D35">
      <w:pPr>
        <w:pStyle w:val="ListParagraph"/>
        <w:tabs>
          <w:tab w:val="left" w:pos="3380"/>
        </w:tabs>
      </w:pPr>
      <w:r>
        <w:rPr>
          <w:noProof/>
        </w:rPr>
        <mc:AlternateContent>
          <mc:Choice Requires="cx1">
            <w:drawing>
              <wp:inline distT="0" distB="0" distL="0" distR="0" wp14:anchorId="17C0BF8B" wp14:editId="6CFDB25F">
                <wp:extent cx="4606925" cy="2495550"/>
                <wp:effectExtent l="0" t="0" r="3175" b="0"/>
                <wp:docPr id="1922625387" name="Chart 1">
                  <a:extLst xmlns:a="http://schemas.openxmlformats.org/drawingml/2006/main">
                    <a:ext uri="{FF2B5EF4-FFF2-40B4-BE49-F238E27FC236}">
                      <a16:creationId xmlns:a16="http://schemas.microsoft.com/office/drawing/2014/main" id="{AD80314B-440E-FEBD-1AF9-D6E5A61C5687}"/>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9"/>
                  </a:graphicData>
                </a:graphic>
              </wp:inline>
            </w:drawing>
          </mc:Choice>
          <mc:Fallback xmlns:w16sdtfl="http://schemas.microsoft.com/office/word/2024/wordml/sdtformatlock" xmlns:w16du="http://schemas.microsoft.com/office/word/2023/wordml/word16du">
            <w:drawing>
              <wp:inline distT="0" distB="0" distL="0" distR="0" wp14:anchorId="17C0BF8B" wp14:editId="6CFDB25F">
                <wp:extent cx="4606925" cy="2495550"/>
                <wp:effectExtent l="0" t="0" r="3175" b="0"/>
                <wp:docPr id="1922625387" name="Chart 1">
                  <a:extLst xmlns:a="http://schemas.openxmlformats.org/drawingml/2006/main">
                    <a:ext uri="{FF2B5EF4-FFF2-40B4-BE49-F238E27FC236}">
                      <a16:creationId xmlns:a16="http://schemas.microsoft.com/office/drawing/2014/main" id="{AD80314B-440E-FEBD-1AF9-D6E5A61C5687}"/>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922625387" name="Chart 1">
                          <a:extLst>
                            <a:ext uri="{FF2B5EF4-FFF2-40B4-BE49-F238E27FC236}">
                              <a16:creationId xmlns:a16="http://schemas.microsoft.com/office/drawing/2014/main" id="{AD80314B-440E-FEBD-1AF9-D6E5A61C5687}"/>
                            </a:ext>
                          </a:extLst>
                        </pic:cNvPr>
                        <pic:cNvPicPr>
                          <a:picLocks noGrp="1" noRot="1" noChangeAspect="1" noMove="1" noResize="1" noEditPoints="1" noAdjustHandles="1" noChangeArrowheads="1" noChangeShapeType="1"/>
                        </pic:cNvPicPr>
                      </pic:nvPicPr>
                      <pic:blipFill>
                        <a:blip r:embed="rId10"/>
                        <a:stretch>
                          <a:fillRect/>
                        </a:stretch>
                      </pic:blipFill>
                      <pic:spPr>
                        <a:xfrm>
                          <a:off x="0" y="0"/>
                          <a:ext cx="4606925" cy="2495550"/>
                        </a:xfrm>
                        <a:prstGeom prst="rect">
                          <a:avLst/>
                        </a:prstGeom>
                      </pic:spPr>
                    </pic:pic>
                  </a:graphicData>
                </a:graphic>
              </wp:inline>
            </w:drawing>
          </mc:Fallback>
        </mc:AlternateContent>
      </w:r>
    </w:p>
    <w:p w14:paraId="17C31A6B" w14:textId="77777777" w:rsidR="005D1391" w:rsidRDefault="005D1391" w:rsidP="00260D35">
      <w:pPr>
        <w:pStyle w:val="ListParagraph"/>
        <w:tabs>
          <w:tab w:val="left" w:pos="3380"/>
        </w:tabs>
      </w:pPr>
    </w:p>
    <w:p w14:paraId="0E57E0BF" w14:textId="59E29D87" w:rsidR="00694B13" w:rsidRPr="00694B13" w:rsidRDefault="00694B13" w:rsidP="00694B13">
      <w:pPr>
        <w:pStyle w:val="ListParagraph"/>
        <w:tabs>
          <w:tab w:val="left" w:pos="1205"/>
        </w:tabs>
      </w:pPr>
      <w:r>
        <w:tab/>
      </w:r>
      <w:r w:rsidRPr="00694B13">
        <w:t>This table shows how the 100 social workers in the study are divided across three specialized practice areas.</w:t>
      </w:r>
      <w:r w:rsidR="00725C22">
        <w:t xml:space="preserve"> </w:t>
      </w:r>
      <w:r w:rsidRPr="00694B13">
        <w:t>Nearly half of them (48 workers, or 48.0%) specialize in Community Development (CD</w:t>
      </w:r>
      <w:proofErr w:type="gramStart"/>
      <w:r w:rsidRPr="00694B13">
        <w:t>)</w:t>
      </w:r>
      <w:r w:rsidR="00725C22">
        <w:t xml:space="preserve"> </w:t>
      </w:r>
      <w:r w:rsidRPr="00694B13">
        <w:t>,</w:t>
      </w:r>
      <w:proofErr w:type="gramEnd"/>
      <w:r w:rsidRPr="00694B13">
        <w:t xml:space="preserve"> which typically focuses on broader social issues, programs, and community-level change. Over a third (36 workers, or 36.0%) specialize in Psychiatric Social Work (PSW), dealing with mental health, trauma, and clinical interventions. A smaller but still significant group (16 workers, or 16.0%) specialize in Family and Child Welfare (FCW)</w:t>
      </w:r>
      <w:r w:rsidR="00725C22">
        <w:t>,</w:t>
      </w:r>
      <w:r w:rsidRPr="00694B13">
        <w:t xml:space="preserve"> working directly with vulnerable families and children, often on issues like domestic violence or child protection. This distribution is important because it reveals the primary professional backgrounds of the respondents.</w:t>
      </w:r>
      <w:r w:rsidR="00582FFB">
        <w:t xml:space="preserve"> </w:t>
      </w:r>
      <w:r w:rsidRPr="00694B13">
        <w:t xml:space="preserve">The high proportion in Community Development suggests the findings reflect perspectives heavily influenced by community-based, systemic approaches to social issues. Meanwhile, the substantial Psychiatric Social Work group indicates strong representation from practitioners focused on mental health and clinical aspects of gender-based challenges. The Family and Child Welfare specialists, though smaller, represent a crucial frontline sector directly addressing issues like domestic abuse and family inequality. Understanding this mix helps contextualize the overall results – for instance, the high awareness rates and systemic views might be partly explained by the large CD cohort, while the confidence in handling GBV could be linked to the </w:t>
      </w:r>
      <w:r w:rsidRPr="00694B13">
        <w:lastRenderedPageBreak/>
        <w:t>significant PSW group trained in trauma. This breakdown reminds us that responses may be shaped by these distinct professional lenses and practice settings.</w:t>
      </w:r>
    </w:p>
    <w:p w14:paraId="52DF0677" w14:textId="5C55A8F8" w:rsidR="005D1391" w:rsidRDefault="005D1391" w:rsidP="00694B13">
      <w:pPr>
        <w:pStyle w:val="ListParagraph"/>
        <w:tabs>
          <w:tab w:val="left" w:pos="1205"/>
        </w:tabs>
      </w:pPr>
    </w:p>
    <w:p w14:paraId="383CB03E" w14:textId="77777777" w:rsidR="005D1391" w:rsidRDefault="005D1391" w:rsidP="00260D35">
      <w:pPr>
        <w:pStyle w:val="ListParagraph"/>
        <w:tabs>
          <w:tab w:val="left" w:pos="3380"/>
        </w:tabs>
      </w:pPr>
    </w:p>
    <w:p w14:paraId="00A6CA60" w14:textId="77777777" w:rsidR="005D1391" w:rsidRDefault="005D1391" w:rsidP="00260D35">
      <w:pPr>
        <w:pStyle w:val="ListParagraph"/>
        <w:tabs>
          <w:tab w:val="left" w:pos="3380"/>
        </w:tabs>
      </w:pPr>
    </w:p>
    <w:p w14:paraId="62858BEC" w14:textId="77777777" w:rsidR="006C7B7E" w:rsidRDefault="006C7B7E" w:rsidP="00AD4E7A">
      <w:pPr>
        <w:tabs>
          <w:tab w:val="left" w:pos="3380"/>
        </w:tabs>
      </w:pPr>
    </w:p>
    <w:p w14:paraId="4C1EAD81" w14:textId="77777777" w:rsidR="006C7B7E" w:rsidRDefault="006C7B7E" w:rsidP="00260D35">
      <w:pPr>
        <w:pStyle w:val="ListParagraph"/>
        <w:tabs>
          <w:tab w:val="left" w:pos="3380"/>
        </w:tabs>
      </w:pPr>
    </w:p>
    <w:p w14:paraId="5E39BC38" w14:textId="77777777" w:rsidR="005D1391" w:rsidRDefault="005D1391" w:rsidP="00260D35">
      <w:pPr>
        <w:pStyle w:val="ListParagraph"/>
        <w:tabs>
          <w:tab w:val="left" w:pos="3380"/>
        </w:tabs>
      </w:pPr>
    </w:p>
    <w:p w14:paraId="7A816353" w14:textId="77777777" w:rsidR="005D1391" w:rsidRDefault="005D1391" w:rsidP="00260D35">
      <w:pPr>
        <w:pStyle w:val="ListParagraph"/>
        <w:tabs>
          <w:tab w:val="left" w:pos="3380"/>
        </w:tabs>
      </w:pPr>
    </w:p>
    <w:p w14:paraId="4DE21194" w14:textId="6E24CE61" w:rsidR="005D1391" w:rsidRDefault="0079018E" w:rsidP="00260D35">
      <w:pPr>
        <w:pStyle w:val="ListParagraph"/>
        <w:tabs>
          <w:tab w:val="left" w:pos="3380"/>
        </w:tabs>
      </w:pPr>
      <w:r>
        <w:rPr>
          <w:noProof/>
        </w:rPr>
        <mc:AlternateContent>
          <mc:Choice Requires="cx1">
            <w:drawing>
              <wp:inline distT="0" distB="0" distL="0" distR="0" wp14:anchorId="150E3FF9" wp14:editId="5EB8FA1D">
                <wp:extent cx="4572000" cy="2743200"/>
                <wp:effectExtent l="0" t="0" r="0" b="0"/>
                <wp:docPr id="1141316841" name="Chart 1">
                  <a:extLst xmlns:a="http://schemas.openxmlformats.org/drawingml/2006/main">
                    <a:ext uri="{FF2B5EF4-FFF2-40B4-BE49-F238E27FC236}">
                      <a16:creationId xmlns:a16="http://schemas.microsoft.com/office/drawing/2014/main" id="{34D7C08A-3728-3F40-D4DA-2D850DDA83D0}"/>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1"/>
                  </a:graphicData>
                </a:graphic>
              </wp:inline>
            </w:drawing>
          </mc:Choice>
          <mc:Fallback xmlns:w16sdtfl="http://schemas.microsoft.com/office/word/2024/wordml/sdtformatlock" xmlns:w16du="http://schemas.microsoft.com/office/word/2023/wordml/word16du">
            <w:drawing>
              <wp:inline distT="0" distB="0" distL="0" distR="0" wp14:anchorId="150E3FF9" wp14:editId="5EB8FA1D">
                <wp:extent cx="4572000" cy="2743200"/>
                <wp:effectExtent l="0" t="0" r="0" b="0"/>
                <wp:docPr id="1141316841" name="Chart 1">
                  <a:extLst xmlns:a="http://schemas.openxmlformats.org/drawingml/2006/main">
                    <a:ext uri="{FF2B5EF4-FFF2-40B4-BE49-F238E27FC236}">
                      <a16:creationId xmlns:a16="http://schemas.microsoft.com/office/drawing/2014/main" id="{34D7C08A-3728-3F40-D4DA-2D850DDA83D0}"/>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141316841" name="Chart 1">
                          <a:extLst>
                            <a:ext uri="{FF2B5EF4-FFF2-40B4-BE49-F238E27FC236}">
                              <a16:creationId xmlns:a16="http://schemas.microsoft.com/office/drawing/2014/main" id="{34D7C08A-3728-3F40-D4DA-2D850DDA83D0}"/>
                            </a:ext>
                          </a:extLst>
                        </pic:cNvPr>
                        <pic:cNvPicPr>
                          <a:picLocks noGrp="1" noRot="1" noChangeAspect="1" noMove="1" noResize="1" noEditPoints="1" noAdjustHandles="1" noChangeArrowheads="1" noChangeShapeType="1"/>
                        </pic:cNvPicPr>
                      </pic:nvPicPr>
                      <pic:blipFill>
                        <a:blip r:embed="rId12"/>
                        <a:stretch>
                          <a:fillRect/>
                        </a:stretch>
                      </pic:blipFill>
                      <pic:spPr>
                        <a:xfrm>
                          <a:off x="0" y="0"/>
                          <a:ext cx="4572000" cy="2743200"/>
                        </a:xfrm>
                        <a:prstGeom prst="rect">
                          <a:avLst/>
                        </a:prstGeom>
                      </pic:spPr>
                    </pic:pic>
                  </a:graphicData>
                </a:graphic>
              </wp:inline>
            </w:drawing>
          </mc:Fallback>
        </mc:AlternateContent>
      </w:r>
    </w:p>
    <w:p w14:paraId="67FC3892" w14:textId="77777777" w:rsidR="005D1391" w:rsidRDefault="005D1391" w:rsidP="00260D35">
      <w:pPr>
        <w:pStyle w:val="ListParagraph"/>
        <w:tabs>
          <w:tab w:val="left" w:pos="3380"/>
        </w:tabs>
      </w:pPr>
    </w:p>
    <w:p w14:paraId="43ECEF33" w14:textId="77777777" w:rsidR="005D1391" w:rsidRDefault="005D1391" w:rsidP="00260D35">
      <w:pPr>
        <w:pStyle w:val="ListParagraph"/>
        <w:tabs>
          <w:tab w:val="left" w:pos="3380"/>
        </w:tabs>
      </w:pPr>
    </w:p>
    <w:p w14:paraId="0E371AC6" w14:textId="77777777" w:rsidR="005D1391" w:rsidRDefault="005D1391" w:rsidP="00260D35">
      <w:pPr>
        <w:pStyle w:val="ListParagraph"/>
        <w:tabs>
          <w:tab w:val="left" w:pos="3380"/>
        </w:tabs>
      </w:pPr>
    </w:p>
    <w:p w14:paraId="00A8D91D" w14:textId="5839A77A" w:rsidR="005D1391" w:rsidRDefault="00AD4E7A" w:rsidP="00260D35">
      <w:pPr>
        <w:pStyle w:val="ListParagraph"/>
        <w:tabs>
          <w:tab w:val="left" w:pos="3380"/>
        </w:tabs>
      </w:pPr>
      <w:r>
        <w:t xml:space="preserve">This data shows that the 100 social workers surveyed have diverse gender identities, with exactly half (50%) identifying as Male, half (50%) as Female, and half (50%) as Other (which includes non-binary, genderqueer, transgender, or other identities beyond male/female). The 0.0% for “No” confirms all respondents provided their gender information. The total adding to 150% clearly indicates </w:t>
      </w:r>
      <w:proofErr w:type="gramStart"/>
      <w:r>
        <w:t xml:space="preserve">that </w:t>
      </w:r>
      <w:r w:rsidR="0026399D">
        <w:t xml:space="preserve"> </w:t>
      </w:r>
      <w:r>
        <w:t>respondents</w:t>
      </w:r>
      <w:proofErr w:type="gramEnd"/>
      <w:r>
        <w:t xml:space="preserve"> could select </w:t>
      </w:r>
      <w:r w:rsidR="0026399D">
        <w:t xml:space="preserve"> </w:t>
      </w:r>
      <w:r>
        <w:t>multiple</w:t>
      </w:r>
      <w:r w:rsidR="0026399D">
        <w:t xml:space="preserve"> </w:t>
      </w:r>
      <w:r>
        <w:t xml:space="preserve"> gender identities</w:t>
      </w:r>
      <w:r w:rsidR="0026399D">
        <w:t xml:space="preserve"> </w:t>
      </w:r>
      <w:r>
        <w:t xml:space="preserve"> that apply to them. This is a common and inclusive approach in modern surveys recognizing that gender isn’t always a single category. The high proportion selecting “Other” (50%) suggests significant representation of gender-diverse individuals within this sample of social workers. This diversity is important context for interpreting the study’s overall findings about gender challenges, as lived experiences and perspectives may vary across these identity </w:t>
      </w:r>
      <w:r>
        <w:lastRenderedPageBreak/>
        <w:t>groups. The earlier unclear chart (1000453620.jpg) with numerical ranges appears to be an incomplete visualization attempt of this same data, but the percentages in 1000453624.jpg provide the meaningful interpretation: a sample evenly split across male, female, and other gender identities, with many individuals claiming multiple identities.</w:t>
      </w:r>
    </w:p>
    <w:p w14:paraId="0AFF0B14" w14:textId="77777777" w:rsidR="005D1391" w:rsidRDefault="005D1391" w:rsidP="00260D35">
      <w:pPr>
        <w:pStyle w:val="ListParagraph"/>
        <w:tabs>
          <w:tab w:val="left" w:pos="3380"/>
        </w:tabs>
      </w:pPr>
    </w:p>
    <w:p w14:paraId="1C2EBA03" w14:textId="77777777" w:rsidR="004A428C" w:rsidRDefault="004A428C" w:rsidP="00260D35">
      <w:pPr>
        <w:pStyle w:val="ListParagraph"/>
        <w:tabs>
          <w:tab w:val="left" w:pos="3380"/>
        </w:tabs>
      </w:pPr>
    </w:p>
    <w:p w14:paraId="49BD36C5" w14:textId="77777777" w:rsidR="004A428C" w:rsidRDefault="004A428C" w:rsidP="00260D35">
      <w:pPr>
        <w:pStyle w:val="ListParagraph"/>
        <w:tabs>
          <w:tab w:val="left" w:pos="3380"/>
        </w:tabs>
      </w:pPr>
    </w:p>
    <w:p w14:paraId="225C03BA" w14:textId="77777777" w:rsidR="004A428C" w:rsidRDefault="004A428C" w:rsidP="00260D35">
      <w:pPr>
        <w:pStyle w:val="ListParagraph"/>
        <w:tabs>
          <w:tab w:val="left" w:pos="3380"/>
        </w:tabs>
      </w:pPr>
    </w:p>
    <w:p w14:paraId="4B426A1B" w14:textId="77777777" w:rsidR="004A428C" w:rsidRDefault="004A428C" w:rsidP="00260D35">
      <w:pPr>
        <w:pStyle w:val="ListParagraph"/>
        <w:tabs>
          <w:tab w:val="left" w:pos="3380"/>
        </w:tabs>
      </w:pPr>
    </w:p>
    <w:p w14:paraId="2ACA5928" w14:textId="77777777" w:rsidR="004A428C" w:rsidRDefault="004A428C" w:rsidP="00260D35">
      <w:pPr>
        <w:pStyle w:val="ListParagraph"/>
        <w:tabs>
          <w:tab w:val="left" w:pos="3380"/>
        </w:tabs>
      </w:pPr>
    </w:p>
    <w:p w14:paraId="0D04FD30" w14:textId="3CF1DC80" w:rsidR="0079018E" w:rsidRDefault="00F40FC9" w:rsidP="00260D35">
      <w:pPr>
        <w:pStyle w:val="ListParagraph"/>
        <w:tabs>
          <w:tab w:val="left" w:pos="3380"/>
        </w:tabs>
      </w:pPr>
      <w:r>
        <w:rPr>
          <w:noProof/>
        </w:rPr>
        <mc:AlternateContent>
          <mc:Choice Requires="cx1">
            <w:drawing>
              <wp:inline distT="0" distB="0" distL="0" distR="0" wp14:anchorId="25A4E3DB" wp14:editId="6A17FFE9">
                <wp:extent cx="4796719" cy="2732617"/>
                <wp:effectExtent l="0" t="0" r="4445" b="10795"/>
                <wp:docPr id="1223791943" name="Chart 1">
                  <a:extLst xmlns:a="http://schemas.openxmlformats.org/drawingml/2006/main">
                    <a:ext uri="{FF2B5EF4-FFF2-40B4-BE49-F238E27FC236}">
                      <a16:creationId xmlns:a16="http://schemas.microsoft.com/office/drawing/2014/main" id="{8808405C-56C9-31D3-8E64-889888862CE5}"/>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3"/>
                  </a:graphicData>
                </a:graphic>
              </wp:inline>
            </w:drawing>
          </mc:Choice>
          <mc:Fallback xmlns:w16sdtfl="http://schemas.microsoft.com/office/word/2024/wordml/sdtformatlock" xmlns:w16du="http://schemas.microsoft.com/office/word/2023/wordml/word16du">
            <w:drawing>
              <wp:inline distT="0" distB="0" distL="0" distR="0" wp14:anchorId="25A4E3DB" wp14:editId="6A17FFE9">
                <wp:extent cx="4796719" cy="2732617"/>
                <wp:effectExtent l="0" t="0" r="4445" b="10795"/>
                <wp:docPr id="1223791943" name="Chart 1">
                  <a:extLst xmlns:a="http://schemas.openxmlformats.org/drawingml/2006/main">
                    <a:ext uri="{FF2B5EF4-FFF2-40B4-BE49-F238E27FC236}">
                      <a16:creationId xmlns:a16="http://schemas.microsoft.com/office/drawing/2014/main" id="{8808405C-56C9-31D3-8E64-889888862CE5}"/>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223791943" name="Chart 1">
                          <a:extLst>
                            <a:ext uri="{FF2B5EF4-FFF2-40B4-BE49-F238E27FC236}">
                              <a16:creationId xmlns:a16="http://schemas.microsoft.com/office/drawing/2014/main" id="{8808405C-56C9-31D3-8E64-889888862CE5}"/>
                            </a:ext>
                          </a:extLst>
                        </pic:cNvPr>
                        <pic:cNvPicPr>
                          <a:picLocks noGrp="1" noRot="1" noChangeAspect="1" noMove="1" noResize="1" noEditPoints="1" noAdjustHandles="1" noChangeArrowheads="1" noChangeShapeType="1"/>
                        </pic:cNvPicPr>
                      </pic:nvPicPr>
                      <pic:blipFill>
                        <a:blip r:embed="rId14"/>
                        <a:stretch>
                          <a:fillRect/>
                        </a:stretch>
                      </pic:blipFill>
                      <pic:spPr>
                        <a:xfrm>
                          <a:off x="0" y="0"/>
                          <a:ext cx="4796155" cy="2732405"/>
                        </a:xfrm>
                        <a:prstGeom prst="rect">
                          <a:avLst/>
                        </a:prstGeom>
                      </pic:spPr>
                    </pic:pic>
                  </a:graphicData>
                </a:graphic>
              </wp:inline>
            </w:drawing>
          </mc:Fallback>
        </mc:AlternateContent>
      </w:r>
    </w:p>
    <w:p w14:paraId="467B57ED" w14:textId="77777777" w:rsidR="0079018E" w:rsidRDefault="0079018E" w:rsidP="004939CB">
      <w:pPr>
        <w:tabs>
          <w:tab w:val="left" w:pos="3380"/>
        </w:tabs>
      </w:pPr>
    </w:p>
    <w:p w14:paraId="7AD367A3" w14:textId="77777777" w:rsidR="0079018E" w:rsidRDefault="0079018E" w:rsidP="00260D35">
      <w:pPr>
        <w:pStyle w:val="ListParagraph"/>
        <w:tabs>
          <w:tab w:val="left" w:pos="3380"/>
        </w:tabs>
      </w:pPr>
    </w:p>
    <w:p w14:paraId="45DCAC69" w14:textId="77777777" w:rsidR="004A428C" w:rsidRDefault="004A428C" w:rsidP="00260D35">
      <w:pPr>
        <w:pStyle w:val="ListParagraph"/>
        <w:tabs>
          <w:tab w:val="left" w:pos="3380"/>
        </w:tabs>
      </w:pPr>
    </w:p>
    <w:p w14:paraId="3ACF2060" w14:textId="18825C7A" w:rsidR="004939CB" w:rsidRDefault="004939CB" w:rsidP="00260D35">
      <w:pPr>
        <w:pStyle w:val="ListParagraph"/>
        <w:tabs>
          <w:tab w:val="left" w:pos="3380"/>
        </w:tabs>
      </w:pPr>
      <w:r>
        <w:t xml:space="preserve">The research sample exhibits a very specific and limited age distribution, which is a crucial factor for interpreting the study’s findings. The first table lists numerical ranges (5 to 5.35, 5.35 to 5.7, and 5.7 to 6.05), which likely represent standardized values or transformed age data rather than actual years. This suggests the researchers processed the raw age data, potentially for statistical analysis requiring normalized distributions or specific scaling. However, the second table provides the clear, interpretable age breakdown of the participants in actual age groups. This table reveals an extremely concentrated sample in terms of age. The vast majority of participants, precisely 69.0%, fall into the youngest category of 20-25 years old. A </w:t>
      </w:r>
      <w:r>
        <w:lastRenderedPageBreak/>
        <w:t>smaller, but still significant, portion, 31.0%, are aged 25-30 years old. Critically, the data shows that there are absolutely no participants (0.0%) in the 30-35 years old category, and by implication, likely no participants older than 30 at all within this sample.</w:t>
      </w:r>
    </w:p>
    <w:p w14:paraId="3433329E" w14:textId="77777777" w:rsidR="004A428C" w:rsidRDefault="004A428C" w:rsidP="00260D35">
      <w:pPr>
        <w:pStyle w:val="ListParagraph"/>
        <w:tabs>
          <w:tab w:val="left" w:pos="3380"/>
        </w:tabs>
      </w:pPr>
    </w:p>
    <w:p w14:paraId="7537343B" w14:textId="77777777" w:rsidR="004A428C" w:rsidRDefault="004A428C" w:rsidP="00260D35">
      <w:pPr>
        <w:pStyle w:val="ListParagraph"/>
        <w:tabs>
          <w:tab w:val="left" w:pos="3380"/>
        </w:tabs>
      </w:pPr>
    </w:p>
    <w:p w14:paraId="3719E6FB" w14:textId="77777777" w:rsidR="004939CB" w:rsidRDefault="004939CB" w:rsidP="00260D35">
      <w:pPr>
        <w:pStyle w:val="ListParagraph"/>
        <w:tabs>
          <w:tab w:val="left" w:pos="3380"/>
        </w:tabs>
      </w:pPr>
    </w:p>
    <w:p w14:paraId="240DA04B" w14:textId="77777777" w:rsidR="004A428C" w:rsidRDefault="004A428C" w:rsidP="00260D35">
      <w:pPr>
        <w:pStyle w:val="ListParagraph"/>
        <w:tabs>
          <w:tab w:val="left" w:pos="3380"/>
        </w:tabs>
      </w:pPr>
    </w:p>
    <w:p w14:paraId="3F784D6E" w14:textId="77777777" w:rsidR="004A428C" w:rsidRDefault="004A428C" w:rsidP="00260D35">
      <w:pPr>
        <w:pStyle w:val="ListParagraph"/>
        <w:tabs>
          <w:tab w:val="left" w:pos="3380"/>
        </w:tabs>
      </w:pPr>
    </w:p>
    <w:p w14:paraId="0BB0D912" w14:textId="77777777" w:rsidR="00EA5EBA" w:rsidRDefault="004939CB" w:rsidP="00260D35">
      <w:pPr>
        <w:pStyle w:val="ListParagraph"/>
        <w:tabs>
          <w:tab w:val="left" w:pos="3380"/>
        </w:tabs>
      </w:pPr>
      <w:r>
        <w:t xml:space="preserve">This highly skewed age distribution towards young adults, specifically those under 30, has major implications for the research. Firstly, it defines the population to which the study’s results can most reliably be generalized. The findings primarily reflect the characteristics, behaviors, or opinions of individuals in their early to mid-twenties. Any conclusions drawn should be explicitly framed within this context; the results cannot be assumed to apply to older adults (30+), teenagers, children, or even potentially to </w:t>
      </w:r>
    </w:p>
    <w:p w14:paraId="5F5FC889" w14:textId="77777777" w:rsidR="00EA5EBA" w:rsidRDefault="00EA5EBA" w:rsidP="00260D35">
      <w:pPr>
        <w:pStyle w:val="ListParagraph"/>
        <w:tabs>
          <w:tab w:val="left" w:pos="3380"/>
        </w:tabs>
      </w:pPr>
    </w:p>
    <w:p w14:paraId="3DB41E41" w14:textId="77777777" w:rsidR="00EA5EBA" w:rsidRDefault="00EA5EBA" w:rsidP="00260D35">
      <w:pPr>
        <w:pStyle w:val="ListParagraph"/>
        <w:tabs>
          <w:tab w:val="left" w:pos="3380"/>
        </w:tabs>
      </w:pPr>
    </w:p>
    <w:p w14:paraId="1C2912FC" w14:textId="77777777" w:rsidR="00EA5EBA" w:rsidRDefault="00EA5EBA" w:rsidP="00260D35">
      <w:pPr>
        <w:pStyle w:val="ListParagraph"/>
        <w:tabs>
          <w:tab w:val="left" w:pos="3380"/>
        </w:tabs>
      </w:pPr>
    </w:p>
    <w:p w14:paraId="77BEF86E" w14:textId="41F98326" w:rsidR="004939CB" w:rsidRDefault="004939CB" w:rsidP="00260D35">
      <w:pPr>
        <w:pStyle w:val="ListParagraph"/>
        <w:tabs>
          <w:tab w:val="left" w:pos="3380"/>
        </w:tabs>
      </w:pPr>
      <w:r>
        <w:t>those in their late twenties given the absence of the 30-35 group and the sharp drop-off after 25. Secondly, if age is a relevant variable for the phenomenon being studied (e.g., technology use, health behaviors, career choices, social attitudes), this limited range significantly restricts the analysis. The study lacks the necessary variation in age to detect potential age-related differences or trends beyond the contrast between the 20-25 and 25-30 groups. It cannot address how outcomes might differ for individuals over 30. Finally, this concentration introduces a potential source of bias. Factors commonly associated with young adulthood (e.g., life stage, education level, income, specific social influences) might be driving the results, making it difficult to disentangle the effect of the primary study variables from the underlying age characteristic of the sample. Therefore, while the quantitative data clearly describes the sample’s age makeup, it simultaneously highlights a significant limitation regarding the breadth of the population represented and the scope of the conclusions that can be drawn from this specific research project. The results are quantitatively robust for this specific young cohort but lack external validity for broader age groups.</w:t>
      </w:r>
    </w:p>
    <w:p w14:paraId="5090F4C0" w14:textId="77777777" w:rsidR="00A55B2A" w:rsidRDefault="00A55B2A" w:rsidP="00260D35">
      <w:pPr>
        <w:pStyle w:val="ListParagraph"/>
        <w:tabs>
          <w:tab w:val="left" w:pos="3380"/>
        </w:tabs>
      </w:pPr>
    </w:p>
    <w:p w14:paraId="797C41C4" w14:textId="77777777" w:rsidR="00A55B2A" w:rsidRDefault="00A55B2A" w:rsidP="00260D35">
      <w:pPr>
        <w:pStyle w:val="ListParagraph"/>
        <w:tabs>
          <w:tab w:val="left" w:pos="3380"/>
        </w:tabs>
      </w:pPr>
    </w:p>
    <w:p w14:paraId="5E8651CA" w14:textId="77777777" w:rsidR="00A55B2A" w:rsidRDefault="00A55B2A" w:rsidP="00260D35">
      <w:pPr>
        <w:pStyle w:val="ListParagraph"/>
        <w:tabs>
          <w:tab w:val="left" w:pos="3380"/>
        </w:tabs>
      </w:pPr>
    </w:p>
    <w:p w14:paraId="325F8413" w14:textId="77777777" w:rsidR="00A55B2A" w:rsidRDefault="00A55B2A" w:rsidP="00260D35">
      <w:pPr>
        <w:pStyle w:val="ListParagraph"/>
        <w:tabs>
          <w:tab w:val="left" w:pos="3380"/>
        </w:tabs>
      </w:pPr>
    </w:p>
    <w:p w14:paraId="5270B08C" w14:textId="77777777" w:rsidR="00A55B2A" w:rsidRDefault="00A55B2A" w:rsidP="00260D35">
      <w:pPr>
        <w:pStyle w:val="ListParagraph"/>
        <w:tabs>
          <w:tab w:val="left" w:pos="3380"/>
        </w:tabs>
      </w:pPr>
    </w:p>
    <w:p w14:paraId="745933FD" w14:textId="77777777" w:rsidR="00A55B2A" w:rsidRDefault="00A55B2A" w:rsidP="00260D35">
      <w:pPr>
        <w:pStyle w:val="ListParagraph"/>
        <w:tabs>
          <w:tab w:val="left" w:pos="3380"/>
        </w:tabs>
      </w:pPr>
    </w:p>
    <w:p w14:paraId="48DFA1F3" w14:textId="77777777" w:rsidR="0079018E" w:rsidRDefault="0079018E" w:rsidP="00260D35">
      <w:pPr>
        <w:pStyle w:val="ListParagraph"/>
        <w:tabs>
          <w:tab w:val="left" w:pos="3380"/>
        </w:tabs>
      </w:pPr>
    </w:p>
    <w:p w14:paraId="3ACF6C90" w14:textId="77777777" w:rsidR="0079018E" w:rsidRDefault="0079018E" w:rsidP="00260D35">
      <w:pPr>
        <w:pStyle w:val="ListParagraph"/>
        <w:tabs>
          <w:tab w:val="left" w:pos="3380"/>
        </w:tabs>
      </w:pPr>
    </w:p>
    <w:tbl>
      <w:tblPr>
        <w:tblpPr w:leftFromText="180" w:rightFromText="180" w:vertAnchor="text" w:horzAnchor="margin" w:tblpXSpec="center" w:tblpY="196"/>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EA5EBA" w:rsidRPr="00A24F76" w14:paraId="02C586EC" w14:textId="77777777" w:rsidTr="00EA5EBA">
        <w:trPr>
          <w:cantSplit/>
        </w:trPr>
        <w:tc>
          <w:tcPr>
            <w:tcW w:w="6548" w:type="dxa"/>
            <w:gridSpan w:val="6"/>
            <w:tcBorders>
              <w:top w:val="nil"/>
              <w:left w:val="nil"/>
              <w:bottom w:val="nil"/>
              <w:right w:val="nil"/>
            </w:tcBorders>
            <w:shd w:val="clear" w:color="auto" w:fill="FFFFFF"/>
            <w:vAlign w:val="center"/>
          </w:tcPr>
          <w:p w14:paraId="73EA68DB" w14:textId="77777777" w:rsidR="00EA5EBA" w:rsidRPr="00A24F76" w:rsidRDefault="00EA5EBA" w:rsidP="00EA5EBA">
            <w:pPr>
              <w:autoSpaceDE w:val="0"/>
              <w:autoSpaceDN w:val="0"/>
              <w:adjustRightInd w:val="0"/>
              <w:spacing w:line="320" w:lineRule="atLeast"/>
              <w:ind w:left="60" w:right="60"/>
              <w:jc w:val="center"/>
              <w:rPr>
                <w:rFonts w:ascii="Arial" w:hAnsi="Arial" w:cs="Arial"/>
                <w:color w:val="000000"/>
                <w:kern w:val="0"/>
                <w:sz w:val="18"/>
                <w:szCs w:val="18"/>
              </w:rPr>
            </w:pPr>
            <w:r w:rsidRPr="00A24F76">
              <w:rPr>
                <w:rFonts w:ascii="Arial" w:hAnsi="Arial" w:cs="Arial"/>
                <w:b/>
                <w:bCs/>
                <w:color w:val="000000"/>
                <w:kern w:val="0"/>
                <w:sz w:val="18"/>
                <w:szCs w:val="18"/>
              </w:rPr>
              <w:t>6. Are you aware of key gender-specific challenges (e.g., pay gap, domestic violence, unequal access to education) faced by women and marginalized genders in your community?</w:t>
            </w:r>
          </w:p>
        </w:tc>
      </w:tr>
      <w:tr w:rsidR="00EA5EBA" w:rsidRPr="00A24F76" w14:paraId="6EE4B4F1" w14:textId="77777777" w:rsidTr="00EA5EBA">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6ED5B012" w14:textId="77777777" w:rsidR="00EA5EBA" w:rsidRPr="00A24F76" w:rsidRDefault="00EA5EBA" w:rsidP="00EA5EBA">
            <w:pPr>
              <w:autoSpaceDE w:val="0"/>
              <w:autoSpaceDN w:val="0"/>
              <w:adjustRightInd w:val="0"/>
              <w:spacing w:line="240" w:lineRule="auto"/>
              <w:jc w:val="left"/>
              <w:rPr>
                <w:rFonts w:ascii="Times New Roman" w:hAnsi="Times New Roman" w:cs="Times New Roman"/>
                <w:kern w:val="0"/>
                <w:sz w:val="24"/>
                <w:szCs w:val="24"/>
              </w:rPr>
            </w:pPr>
          </w:p>
        </w:tc>
        <w:tc>
          <w:tcPr>
            <w:tcW w:w="1169" w:type="dxa"/>
            <w:tcBorders>
              <w:top w:val="single" w:sz="16" w:space="0" w:color="000000"/>
              <w:left w:val="single" w:sz="16" w:space="0" w:color="000000"/>
              <w:bottom w:val="single" w:sz="16" w:space="0" w:color="000000"/>
            </w:tcBorders>
            <w:shd w:val="clear" w:color="auto" w:fill="FFFFFF"/>
            <w:vAlign w:val="bottom"/>
          </w:tcPr>
          <w:p w14:paraId="16D0A66B" w14:textId="77777777" w:rsidR="00EA5EBA" w:rsidRPr="00A24F76" w:rsidRDefault="00EA5EBA" w:rsidP="00EA5EBA">
            <w:pPr>
              <w:autoSpaceDE w:val="0"/>
              <w:autoSpaceDN w:val="0"/>
              <w:adjustRightInd w:val="0"/>
              <w:spacing w:line="320" w:lineRule="atLeast"/>
              <w:ind w:left="60" w:right="60"/>
              <w:jc w:val="center"/>
              <w:rPr>
                <w:rFonts w:ascii="Arial" w:hAnsi="Arial" w:cs="Arial"/>
                <w:color w:val="000000"/>
                <w:kern w:val="0"/>
                <w:sz w:val="18"/>
                <w:szCs w:val="18"/>
              </w:rPr>
            </w:pPr>
            <w:r w:rsidRPr="00A24F76">
              <w:rPr>
                <w:rFonts w:ascii="Arial" w:hAnsi="Arial" w:cs="Arial"/>
                <w:color w:val="000000"/>
                <w:kern w:val="0"/>
                <w:sz w:val="18"/>
                <w:szCs w:val="18"/>
              </w:rPr>
              <w:t>Frequency</w:t>
            </w:r>
          </w:p>
        </w:tc>
        <w:tc>
          <w:tcPr>
            <w:tcW w:w="1030" w:type="dxa"/>
            <w:tcBorders>
              <w:top w:val="single" w:sz="16" w:space="0" w:color="000000"/>
              <w:bottom w:val="single" w:sz="16" w:space="0" w:color="000000"/>
            </w:tcBorders>
            <w:shd w:val="clear" w:color="auto" w:fill="FFFFFF"/>
            <w:vAlign w:val="bottom"/>
          </w:tcPr>
          <w:p w14:paraId="5D8D1549" w14:textId="77777777" w:rsidR="00EA5EBA" w:rsidRPr="00A24F76" w:rsidRDefault="00EA5EBA" w:rsidP="00EA5EBA">
            <w:pPr>
              <w:autoSpaceDE w:val="0"/>
              <w:autoSpaceDN w:val="0"/>
              <w:adjustRightInd w:val="0"/>
              <w:spacing w:line="320" w:lineRule="atLeast"/>
              <w:ind w:left="60" w:right="60"/>
              <w:jc w:val="center"/>
              <w:rPr>
                <w:rFonts w:ascii="Arial" w:hAnsi="Arial" w:cs="Arial"/>
                <w:color w:val="000000"/>
                <w:kern w:val="0"/>
                <w:sz w:val="18"/>
                <w:szCs w:val="18"/>
              </w:rPr>
            </w:pPr>
            <w:r w:rsidRPr="00A24F76">
              <w:rPr>
                <w:rFonts w:ascii="Arial" w:hAnsi="Arial" w:cs="Arial"/>
                <w:color w:val="000000"/>
                <w:kern w:val="0"/>
                <w:sz w:val="18"/>
                <w:szCs w:val="18"/>
              </w:rPr>
              <w:t>Percent</w:t>
            </w:r>
          </w:p>
        </w:tc>
        <w:tc>
          <w:tcPr>
            <w:tcW w:w="1399" w:type="dxa"/>
            <w:tcBorders>
              <w:top w:val="single" w:sz="16" w:space="0" w:color="000000"/>
              <w:bottom w:val="single" w:sz="16" w:space="0" w:color="000000"/>
            </w:tcBorders>
            <w:shd w:val="clear" w:color="auto" w:fill="FFFFFF"/>
            <w:vAlign w:val="bottom"/>
          </w:tcPr>
          <w:p w14:paraId="08767720" w14:textId="77777777" w:rsidR="00EA5EBA" w:rsidRPr="00A24F76" w:rsidRDefault="00EA5EBA" w:rsidP="00EA5EBA">
            <w:pPr>
              <w:autoSpaceDE w:val="0"/>
              <w:autoSpaceDN w:val="0"/>
              <w:adjustRightInd w:val="0"/>
              <w:spacing w:line="320" w:lineRule="atLeast"/>
              <w:ind w:left="60" w:right="60"/>
              <w:jc w:val="center"/>
              <w:rPr>
                <w:rFonts w:ascii="Arial" w:hAnsi="Arial" w:cs="Arial"/>
                <w:color w:val="000000"/>
                <w:kern w:val="0"/>
                <w:sz w:val="18"/>
                <w:szCs w:val="18"/>
              </w:rPr>
            </w:pPr>
            <w:r w:rsidRPr="00A24F76">
              <w:rPr>
                <w:rFonts w:ascii="Arial" w:hAnsi="Arial" w:cs="Arial"/>
                <w:color w:val="000000"/>
                <w:kern w:val="0"/>
                <w:sz w:val="18"/>
                <w:szCs w:val="18"/>
              </w:rPr>
              <w:t>Valid Percent</w:t>
            </w:r>
          </w:p>
        </w:tc>
        <w:tc>
          <w:tcPr>
            <w:tcW w:w="1476" w:type="dxa"/>
            <w:tcBorders>
              <w:top w:val="single" w:sz="16" w:space="0" w:color="000000"/>
              <w:bottom w:val="single" w:sz="16" w:space="0" w:color="000000"/>
              <w:right w:val="single" w:sz="16" w:space="0" w:color="000000"/>
            </w:tcBorders>
            <w:shd w:val="clear" w:color="auto" w:fill="FFFFFF"/>
            <w:vAlign w:val="bottom"/>
          </w:tcPr>
          <w:p w14:paraId="43C4C5CA" w14:textId="77777777" w:rsidR="00EA5EBA" w:rsidRPr="00A24F76" w:rsidRDefault="00EA5EBA" w:rsidP="00EA5EBA">
            <w:pPr>
              <w:autoSpaceDE w:val="0"/>
              <w:autoSpaceDN w:val="0"/>
              <w:adjustRightInd w:val="0"/>
              <w:spacing w:line="320" w:lineRule="atLeast"/>
              <w:ind w:left="60" w:right="60"/>
              <w:jc w:val="center"/>
              <w:rPr>
                <w:rFonts w:ascii="Arial" w:hAnsi="Arial" w:cs="Arial"/>
                <w:color w:val="000000"/>
                <w:kern w:val="0"/>
                <w:sz w:val="18"/>
                <w:szCs w:val="18"/>
              </w:rPr>
            </w:pPr>
            <w:r w:rsidRPr="00A24F76">
              <w:rPr>
                <w:rFonts w:ascii="Arial" w:hAnsi="Arial" w:cs="Arial"/>
                <w:color w:val="000000"/>
                <w:kern w:val="0"/>
                <w:sz w:val="18"/>
                <w:szCs w:val="18"/>
              </w:rPr>
              <w:t>Cumulative Percent</w:t>
            </w:r>
          </w:p>
        </w:tc>
      </w:tr>
      <w:tr w:rsidR="00EA5EBA" w:rsidRPr="00A24F76" w14:paraId="03D60A26" w14:textId="77777777" w:rsidTr="00EA5EBA">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56FE643B" w14:textId="77777777" w:rsidR="00EA5EBA" w:rsidRPr="00A24F76" w:rsidRDefault="00EA5EBA" w:rsidP="00EA5EBA">
            <w:pPr>
              <w:autoSpaceDE w:val="0"/>
              <w:autoSpaceDN w:val="0"/>
              <w:adjustRightInd w:val="0"/>
              <w:spacing w:line="320" w:lineRule="atLeast"/>
              <w:ind w:left="60" w:right="60"/>
              <w:jc w:val="left"/>
              <w:rPr>
                <w:rFonts w:ascii="Arial" w:hAnsi="Arial" w:cs="Arial"/>
                <w:color w:val="000000"/>
                <w:kern w:val="0"/>
                <w:sz w:val="18"/>
                <w:szCs w:val="18"/>
              </w:rPr>
            </w:pPr>
            <w:r w:rsidRPr="00A24F76">
              <w:rPr>
                <w:rFonts w:ascii="Arial" w:hAnsi="Arial" w:cs="Arial"/>
                <w:color w:val="000000"/>
                <w:kern w:val="0"/>
                <w:sz w:val="18"/>
                <w:szCs w:val="18"/>
              </w:rPr>
              <w:t>Valid</w:t>
            </w:r>
          </w:p>
        </w:tc>
        <w:tc>
          <w:tcPr>
            <w:tcW w:w="737" w:type="dxa"/>
            <w:tcBorders>
              <w:top w:val="single" w:sz="16" w:space="0" w:color="000000"/>
              <w:left w:val="nil"/>
              <w:bottom w:val="nil"/>
              <w:right w:val="single" w:sz="16" w:space="0" w:color="000000"/>
            </w:tcBorders>
            <w:shd w:val="clear" w:color="auto" w:fill="FFFFFF"/>
          </w:tcPr>
          <w:p w14:paraId="78580DD0" w14:textId="77777777" w:rsidR="00EA5EBA" w:rsidRPr="00A24F76" w:rsidRDefault="00EA5EBA" w:rsidP="00EA5EBA">
            <w:pPr>
              <w:autoSpaceDE w:val="0"/>
              <w:autoSpaceDN w:val="0"/>
              <w:adjustRightInd w:val="0"/>
              <w:spacing w:line="320" w:lineRule="atLeast"/>
              <w:ind w:left="60" w:right="60"/>
              <w:jc w:val="left"/>
              <w:rPr>
                <w:rFonts w:ascii="Arial" w:hAnsi="Arial" w:cs="Arial"/>
                <w:color w:val="000000"/>
                <w:kern w:val="0"/>
                <w:sz w:val="18"/>
                <w:szCs w:val="18"/>
              </w:rPr>
            </w:pPr>
            <w:r w:rsidRPr="00A24F76">
              <w:rPr>
                <w:rFonts w:ascii="Arial" w:hAnsi="Arial" w:cs="Arial"/>
                <w:color w:val="000000"/>
                <w:kern w:val="0"/>
                <w:sz w:val="18"/>
                <w:szCs w:val="18"/>
              </w:rPr>
              <w:t>No</w:t>
            </w:r>
          </w:p>
        </w:tc>
        <w:tc>
          <w:tcPr>
            <w:tcW w:w="1169" w:type="dxa"/>
            <w:tcBorders>
              <w:top w:val="single" w:sz="16" w:space="0" w:color="000000"/>
              <w:left w:val="single" w:sz="16" w:space="0" w:color="000000"/>
              <w:bottom w:val="nil"/>
            </w:tcBorders>
            <w:shd w:val="clear" w:color="auto" w:fill="FFFFFF"/>
            <w:vAlign w:val="center"/>
          </w:tcPr>
          <w:p w14:paraId="6516D15B" w14:textId="77777777" w:rsidR="00EA5EBA" w:rsidRPr="00A24F76" w:rsidRDefault="00EA5EBA" w:rsidP="00EA5EBA">
            <w:pPr>
              <w:autoSpaceDE w:val="0"/>
              <w:autoSpaceDN w:val="0"/>
              <w:adjustRightInd w:val="0"/>
              <w:spacing w:line="320" w:lineRule="atLeast"/>
              <w:ind w:left="60" w:right="60"/>
              <w:jc w:val="right"/>
              <w:rPr>
                <w:rFonts w:ascii="Arial" w:hAnsi="Arial" w:cs="Arial"/>
                <w:color w:val="000000"/>
                <w:kern w:val="0"/>
                <w:sz w:val="18"/>
                <w:szCs w:val="18"/>
              </w:rPr>
            </w:pPr>
            <w:r w:rsidRPr="00A24F76">
              <w:rPr>
                <w:rFonts w:ascii="Arial" w:hAnsi="Arial" w:cs="Arial"/>
                <w:color w:val="000000"/>
                <w:kern w:val="0"/>
                <w:sz w:val="18"/>
                <w:szCs w:val="18"/>
              </w:rPr>
              <w:t>2</w:t>
            </w:r>
          </w:p>
        </w:tc>
        <w:tc>
          <w:tcPr>
            <w:tcW w:w="1030" w:type="dxa"/>
            <w:tcBorders>
              <w:top w:val="single" w:sz="16" w:space="0" w:color="000000"/>
              <w:bottom w:val="nil"/>
            </w:tcBorders>
            <w:shd w:val="clear" w:color="auto" w:fill="FFFFFF"/>
            <w:vAlign w:val="center"/>
          </w:tcPr>
          <w:p w14:paraId="376A865F" w14:textId="77777777" w:rsidR="00EA5EBA" w:rsidRPr="00A24F76" w:rsidRDefault="00EA5EBA" w:rsidP="00EA5EBA">
            <w:pPr>
              <w:autoSpaceDE w:val="0"/>
              <w:autoSpaceDN w:val="0"/>
              <w:adjustRightInd w:val="0"/>
              <w:spacing w:line="320" w:lineRule="atLeast"/>
              <w:ind w:left="60" w:right="60"/>
              <w:jc w:val="right"/>
              <w:rPr>
                <w:rFonts w:ascii="Arial" w:hAnsi="Arial" w:cs="Arial"/>
                <w:color w:val="000000"/>
                <w:kern w:val="0"/>
                <w:sz w:val="18"/>
                <w:szCs w:val="18"/>
              </w:rPr>
            </w:pPr>
            <w:r w:rsidRPr="00A24F76">
              <w:rPr>
                <w:rFonts w:ascii="Arial" w:hAnsi="Arial" w:cs="Arial"/>
                <w:color w:val="000000"/>
                <w:kern w:val="0"/>
                <w:sz w:val="18"/>
                <w:szCs w:val="18"/>
              </w:rPr>
              <w:t>2.0</w:t>
            </w:r>
          </w:p>
        </w:tc>
        <w:tc>
          <w:tcPr>
            <w:tcW w:w="1399" w:type="dxa"/>
            <w:tcBorders>
              <w:top w:val="single" w:sz="16" w:space="0" w:color="000000"/>
              <w:bottom w:val="nil"/>
            </w:tcBorders>
            <w:shd w:val="clear" w:color="auto" w:fill="FFFFFF"/>
            <w:vAlign w:val="center"/>
          </w:tcPr>
          <w:p w14:paraId="0CB1BD16" w14:textId="77777777" w:rsidR="00EA5EBA" w:rsidRPr="00A24F76" w:rsidRDefault="00EA5EBA" w:rsidP="00EA5EBA">
            <w:pPr>
              <w:autoSpaceDE w:val="0"/>
              <w:autoSpaceDN w:val="0"/>
              <w:adjustRightInd w:val="0"/>
              <w:spacing w:line="320" w:lineRule="atLeast"/>
              <w:ind w:left="60" w:right="60"/>
              <w:jc w:val="right"/>
              <w:rPr>
                <w:rFonts w:ascii="Arial" w:hAnsi="Arial" w:cs="Arial"/>
                <w:color w:val="000000"/>
                <w:kern w:val="0"/>
                <w:sz w:val="18"/>
                <w:szCs w:val="18"/>
              </w:rPr>
            </w:pPr>
            <w:r w:rsidRPr="00A24F76">
              <w:rPr>
                <w:rFonts w:ascii="Arial" w:hAnsi="Arial" w:cs="Arial"/>
                <w:color w:val="000000"/>
                <w:kern w:val="0"/>
                <w:sz w:val="18"/>
                <w:szCs w:val="18"/>
              </w:rPr>
              <w:t>2.0</w:t>
            </w:r>
          </w:p>
        </w:tc>
        <w:tc>
          <w:tcPr>
            <w:tcW w:w="1476" w:type="dxa"/>
            <w:tcBorders>
              <w:top w:val="single" w:sz="16" w:space="0" w:color="000000"/>
              <w:bottom w:val="nil"/>
              <w:right w:val="single" w:sz="16" w:space="0" w:color="000000"/>
            </w:tcBorders>
            <w:shd w:val="clear" w:color="auto" w:fill="FFFFFF"/>
            <w:vAlign w:val="center"/>
          </w:tcPr>
          <w:p w14:paraId="19AFAEEA" w14:textId="77777777" w:rsidR="00EA5EBA" w:rsidRPr="00A24F76" w:rsidRDefault="00EA5EBA" w:rsidP="00EA5EBA">
            <w:pPr>
              <w:autoSpaceDE w:val="0"/>
              <w:autoSpaceDN w:val="0"/>
              <w:adjustRightInd w:val="0"/>
              <w:spacing w:line="320" w:lineRule="atLeast"/>
              <w:ind w:left="60" w:right="60"/>
              <w:jc w:val="right"/>
              <w:rPr>
                <w:rFonts w:ascii="Arial" w:hAnsi="Arial" w:cs="Arial"/>
                <w:color w:val="000000"/>
                <w:kern w:val="0"/>
                <w:sz w:val="18"/>
                <w:szCs w:val="18"/>
              </w:rPr>
            </w:pPr>
            <w:r w:rsidRPr="00A24F76">
              <w:rPr>
                <w:rFonts w:ascii="Arial" w:hAnsi="Arial" w:cs="Arial"/>
                <w:color w:val="000000"/>
                <w:kern w:val="0"/>
                <w:sz w:val="18"/>
                <w:szCs w:val="18"/>
              </w:rPr>
              <w:t>2.0</w:t>
            </w:r>
          </w:p>
        </w:tc>
      </w:tr>
      <w:tr w:rsidR="00EA5EBA" w:rsidRPr="00A24F76" w14:paraId="14990A61" w14:textId="77777777" w:rsidTr="00EA5EBA">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54FFDB1" w14:textId="77777777" w:rsidR="00EA5EBA" w:rsidRPr="00A24F76" w:rsidRDefault="00EA5EBA" w:rsidP="00EA5EBA">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nil"/>
              <w:right w:val="single" w:sz="16" w:space="0" w:color="000000"/>
            </w:tcBorders>
            <w:shd w:val="clear" w:color="auto" w:fill="FFFFFF"/>
          </w:tcPr>
          <w:p w14:paraId="28C43762" w14:textId="77777777" w:rsidR="00EA5EBA" w:rsidRPr="00A24F76" w:rsidRDefault="00EA5EBA" w:rsidP="00EA5EBA">
            <w:pPr>
              <w:autoSpaceDE w:val="0"/>
              <w:autoSpaceDN w:val="0"/>
              <w:adjustRightInd w:val="0"/>
              <w:spacing w:line="320" w:lineRule="atLeast"/>
              <w:ind w:left="60" w:right="60"/>
              <w:jc w:val="left"/>
              <w:rPr>
                <w:rFonts w:ascii="Arial" w:hAnsi="Arial" w:cs="Arial"/>
                <w:color w:val="000000"/>
                <w:kern w:val="0"/>
                <w:sz w:val="18"/>
                <w:szCs w:val="18"/>
              </w:rPr>
            </w:pPr>
            <w:r w:rsidRPr="00A24F76">
              <w:rPr>
                <w:rFonts w:ascii="Arial" w:hAnsi="Arial" w:cs="Arial"/>
                <w:color w:val="000000"/>
                <w:kern w:val="0"/>
                <w:sz w:val="18"/>
                <w:szCs w:val="18"/>
              </w:rPr>
              <w:t>Yes</w:t>
            </w:r>
          </w:p>
        </w:tc>
        <w:tc>
          <w:tcPr>
            <w:tcW w:w="1169" w:type="dxa"/>
            <w:tcBorders>
              <w:top w:val="nil"/>
              <w:left w:val="single" w:sz="16" w:space="0" w:color="000000"/>
              <w:bottom w:val="nil"/>
            </w:tcBorders>
            <w:shd w:val="clear" w:color="auto" w:fill="FFFFFF"/>
            <w:vAlign w:val="center"/>
          </w:tcPr>
          <w:p w14:paraId="0A8D7A67" w14:textId="77777777" w:rsidR="00EA5EBA" w:rsidRPr="00A24F76" w:rsidRDefault="00EA5EBA" w:rsidP="00EA5EBA">
            <w:pPr>
              <w:autoSpaceDE w:val="0"/>
              <w:autoSpaceDN w:val="0"/>
              <w:adjustRightInd w:val="0"/>
              <w:spacing w:line="320" w:lineRule="atLeast"/>
              <w:ind w:left="60" w:right="60"/>
              <w:jc w:val="right"/>
              <w:rPr>
                <w:rFonts w:ascii="Arial" w:hAnsi="Arial" w:cs="Arial"/>
                <w:color w:val="000000"/>
                <w:kern w:val="0"/>
                <w:sz w:val="18"/>
                <w:szCs w:val="18"/>
              </w:rPr>
            </w:pPr>
            <w:r w:rsidRPr="00A24F76">
              <w:rPr>
                <w:rFonts w:ascii="Arial" w:hAnsi="Arial" w:cs="Arial"/>
                <w:color w:val="000000"/>
                <w:kern w:val="0"/>
                <w:sz w:val="18"/>
                <w:szCs w:val="18"/>
              </w:rPr>
              <w:t>98</w:t>
            </w:r>
          </w:p>
        </w:tc>
        <w:tc>
          <w:tcPr>
            <w:tcW w:w="1030" w:type="dxa"/>
            <w:tcBorders>
              <w:top w:val="nil"/>
              <w:bottom w:val="nil"/>
            </w:tcBorders>
            <w:shd w:val="clear" w:color="auto" w:fill="FFFFFF"/>
            <w:vAlign w:val="center"/>
          </w:tcPr>
          <w:p w14:paraId="709D860D" w14:textId="77777777" w:rsidR="00EA5EBA" w:rsidRPr="00A24F76" w:rsidRDefault="00EA5EBA" w:rsidP="00EA5EBA">
            <w:pPr>
              <w:autoSpaceDE w:val="0"/>
              <w:autoSpaceDN w:val="0"/>
              <w:adjustRightInd w:val="0"/>
              <w:spacing w:line="320" w:lineRule="atLeast"/>
              <w:ind w:left="60" w:right="60"/>
              <w:jc w:val="right"/>
              <w:rPr>
                <w:rFonts w:ascii="Arial" w:hAnsi="Arial" w:cs="Arial"/>
                <w:color w:val="000000"/>
                <w:kern w:val="0"/>
                <w:sz w:val="18"/>
                <w:szCs w:val="18"/>
              </w:rPr>
            </w:pPr>
            <w:r w:rsidRPr="00A24F76">
              <w:rPr>
                <w:rFonts w:ascii="Arial" w:hAnsi="Arial" w:cs="Arial"/>
                <w:color w:val="000000"/>
                <w:kern w:val="0"/>
                <w:sz w:val="18"/>
                <w:szCs w:val="18"/>
              </w:rPr>
              <w:t>98.0</w:t>
            </w:r>
          </w:p>
        </w:tc>
        <w:tc>
          <w:tcPr>
            <w:tcW w:w="1399" w:type="dxa"/>
            <w:tcBorders>
              <w:top w:val="nil"/>
              <w:bottom w:val="nil"/>
            </w:tcBorders>
            <w:shd w:val="clear" w:color="auto" w:fill="FFFFFF"/>
            <w:vAlign w:val="center"/>
          </w:tcPr>
          <w:p w14:paraId="662C893F" w14:textId="77777777" w:rsidR="00EA5EBA" w:rsidRPr="00A24F76" w:rsidRDefault="00EA5EBA" w:rsidP="00EA5EBA">
            <w:pPr>
              <w:autoSpaceDE w:val="0"/>
              <w:autoSpaceDN w:val="0"/>
              <w:adjustRightInd w:val="0"/>
              <w:spacing w:line="320" w:lineRule="atLeast"/>
              <w:ind w:left="60" w:right="60"/>
              <w:jc w:val="right"/>
              <w:rPr>
                <w:rFonts w:ascii="Arial" w:hAnsi="Arial" w:cs="Arial"/>
                <w:color w:val="000000"/>
                <w:kern w:val="0"/>
                <w:sz w:val="18"/>
                <w:szCs w:val="18"/>
              </w:rPr>
            </w:pPr>
            <w:r w:rsidRPr="00A24F76">
              <w:rPr>
                <w:rFonts w:ascii="Arial" w:hAnsi="Arial" w:cs="Arial"/>
                <w:color w:val="000000"/>
                <w:kern w:val="0"/>
                <w:sz w:val="18"/>
                <w:szCs w:val="18"/>
              </w:rPr>
              <w:t>98.0</w:t>
            </w:r>
          </w:p>
        </w:tc>
        <w:tc>
          <w:tcPr>
            <w:tcW w:w="1476" w:type="dxa"/>
            <w:tcBorders>
              <w:top w:val="nil"/>
              <w:bottom w:val="nil"/>
              <w:right w:val="single" w:sz="16" w:space="0" w:color="000000"/>
            </w:tcBorders>
            <w:shd w:val="clear" w:color="auto" w:fill="FFFFFF"/>
            <w:vAlign w:val="center"/>
          </w:tcPr>
          <w:p w14:paraId="559A1EB6" w14:textId="77777777" w:rsidR="00EA5EBA" w:rsidRPr="00A24F76" w:rsidRDefault="00EA5EBA" w:rsidP="00EA5EBA">
            <w:pPr>
              <w:autoSpaceDE w:val="0"/>
              <w:autoSpaceDN w:val="0"/>
              <w:adjustRightInd w:val="0"/>
              <w:spacing w:line="320" w:lineRule="atLeast"/>
              <w:ind w:left="60" w:right="60"/>
              <w:jc w:val="right"/>
              <w:rPr>
                <w:rFonts w:ascii="Arial" w:hAnsi="Arial" w:cs="Arial"/>
                <w:color w:val="000000"/>
                <w:kern w:val="0"/>
                <w:sz w:val="18"/>
                <w:szCs w:val="18"/>
              </w:rPr>
            </w:pPr>
            <w:r w:rsidRPr="00A24F76">
              <w:rPr>
                <w:rFonts w:ascii="Arial" w:hAnsi="Arial" w:cs="Arial"/>
                <w:color w:val="000000"/>
                <w:kern w:val="0"/>
                <w:sz w:val="18"/>
                <w:szCs w:val="18"/>
              </w:rPr>
              <w:t>100.0</w:t>
            </w:r>
          </w:p>
        </w:tc>
      </w:tr>
      <w:tr w:rsidR="00EA5EBA" w:rsidRPr="00A24F76" w14:paraId="47711FF7" w14:textId="77777777" w:rsidTr="00EA5EBA">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E2FF20C" w14:textId="77777777" w:rsidR="00EA5EBA" w:rsidRPr="00A24F76" w:rsidRDefault="00EA5EBA" w:rsidP="00EA5EBA">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single" w:sz="16" w:space="0" w:color="000000"/>
              <w:right w:val="single" w:sz="16" w:space="0" w:color="000000"/>
            </w:tcBorders>
            <w:shd w:val="clear" w:color="auto" w:fill="FFFFFF"/>
          </w:tcPr>
          <w:p w14:paraId="206582CA" w14:textId="77777777" w:rsidR="00EA5EBA" w:rsidRPr="00A24F76" w:rsidRDefault="00EA5EBA" w:rsidP="00EA5EBA">
            <w:pPr>
              <w:autoSpaceDE w:val="0"/>
              <w:autoSpaceDN w:val="0"/>
              <w:adjustRightInd w:val="0"/>
              <w:spacing w:line="320" w:lineRule="atLeast"/>
              <w:ind w:left="60" w:right="60"/>
              <w:jc w:val="left"/>
              <w:rPr>
                <w:rFonts w:ascii="Arial" w:hAnsi="Arial" w:cs="Arial"/>
                <w:color w:val="000000"/>
                <w:kern w:val="0"/>
                <w:sz w:val="18"/>
                <w:szCs w:val="18"/>
              </w:rPr>
            </w:pPr>
            <w:r w:rsidRPr="00A24F76">
              <w:rPr>
                <w:rFonts w:ascii="Arial" w:hAnsi="Arial" w:cs="Arial"/>
                <w:color w:val="000000"/>
                <w:kern w:val="0"/>
                <w:sz w:val="18"/>
                <w:szCs w:val="18"/>
              </w:rPr>
              <w:t>Total</w:t>
            </w:r>
          </w:p>
        </w:tc>
        <w:tc>
          <w:tcPr>
            <w:tcW w:w="1169" w:type="dxa"/>
            <w:tcBorders>
              <w:top w:val="nil"/>
              <w:left w:val="single" w:sz="16" w:space="0" w:color="000000"/>
              <w:bottom w:val="single" w:sz="16" w:space="0" w:color="000000"/>
            </w:tcBorders>
            <w:shd w:val="clear" w:color="auto" w:fill="FFFFFF"/>
            <w:vAlign w:val="center"/>
          </w:tcPr>
          <w:p w14:paraId="71573D59" w14:textId="77777777" w:rsidR="00EA5EBA" w:rsidRPr="00A24F76" w:rsidRDefault="00EA5EBA" w:rsidP="00EA5EBA">
            <w:pPr>
              <w:autoSpaceDE w:val="0"/>
              <w:autoSpaceDN w:val="0"/>
              <w:adjustRightInd w:val="0"/>
              <w:spacing w:line="320" w:lineRule="atLeast"/>
              <w:ind w:left="60" w:right="60"/>
              <w:jc w:val="right"/>
              <w:rPr>
                <w:rFonts w:ascii="Arial" w:hAnsi="Arial" w:cs="Arial"/>
                <w:color w:val="000000"/>
                <w:kern w:val="0"/>
                <w:sz w:val="18"/>
                <w:szCs w:val="18"/>
              </w:rPr>
            </w:pPr>
            <w:r w:rsidRPr="00A24F76">
              <w:rPr>
                <w:rFonts w:ascii="Arial" w:hAnsi="Arial" w:cs="Arial"/>
                <w:color w:val="000000"/>
                <w:kern w:val="0"/>
                <w:sz w:val="18"/>
                <w:szCs w:val="18"/>
              </w:rPr>
              <w:t>100</w:t>
            </w:r>
          </w:p>
        </w:tc>
        <w:tc>
          <w:tcPr>
            <w:tcW w:w="1030" w:type="dxa"/>
            <w:tcBorders>
              <w:top w:val="nil"/>
              <w:bottom w:val="single" w:sz="16" w:space="0" w:color="000000"/>
            </w:tcBorders>
            <w:shd w:val="clear" w:color="auto" w:fill="FFFFFF"/>
            <w:vAlign w:val="center"/>
          </w:tcPr>
          <w:p w14:paraId="3AD9617D" w14:textId="77777777" w:rsidR="00EA5EBA" w:rsidRPr="00A24F76" w:rsidRDefault="00EA5EBA" w:rsidP="00EA5EBA">
            <w:pPr>
              <w:autoSpaceDE w:val="0"/>
              <w:autoSpaceDN w:val="0"/>
              <w:adjustRightInd w:val="0"/>
              <w:spacing w:line="320" w:lineRule="atLeast"/>
              <w:ind w:left="60" w:right="60"/>
              <w:jc w:val="right"/>
              <w:rPr>
                <w:rFonts w:ascii="Arial" w:hAnsi="Arial" w:cs="Arial"/>
                <w:color w:val="000000"/>
                <w:kern w:val="0"/>
                <w:sz w:val="18"/>
                <w:szCs w:val="18"/>
              </w:rPr>
            </w:pPr>
            <w:r w:rsidRPr="00A24F76">
              <w:rPr>
                <w:rFonts w:ascii="Arial" w:hAnsi="Arial" w:cs="Arial"/>
                <w:color w:val="000000"/>
                <w:kern w:val="0"/>
                <w:sz w:val="18"/>
                <w:szCs w:val="18"/>
              </w:rPr>
              <w:t>100.0</w:t>
            </w:r>
          </w:p>
        </w:tc>
        <w:tc>
          <w:tcPr>
            <w:tcW w:w="1399" w:type="dxa"/>
            <w:tcBorders>
              <w:top w:val="nil"/>
              <w:bottom w:val="single" w:sz="16" w:space="0" w:color="000000"/>
            </w:tcBorders>
            <w:shd w:val="clear" w:color="auto" w:fill="FFFFFF"/>
            <w:vAlign w:val="center"/>
          </w:tcPr>
          <w:p w14:paraId="407DD04D" w14:textId="77777777" w:rsidR="00EA5EBA" w:rsidRPr="00A24F76" w:rsidRDefault="00EA5EBA" w:rsidP="00EA5EBA">
            <w:pPr>
              <w:autoSpaceDE w:val="0"/>
              <w:autoSpaceDN w:val="0"/>
              <w:adjustRightInd w:val="0"/>
              <w:spacing w:line="320" w:lineRule="atLeast"/>
              <w:ind w:left="60" w:right="60"/>
              <w:jc w:val="right"/>
              <w:rPr>
                <w:rFonts w:ascii="Arial" w:hAnsi="Arial" w:cs="Arial"/>
                <w:color w:val="000000"/>
                <w:kern w:val="0"/>
                <w:sz w:val="18"/>
                <w:szCs w:val="18"/>
              </w:rPr>
            </w:pPr>
            <w:r w:rsidRPr="00A24F76">
              <w:rPr>
                <w:rFonts w:ascii="Arial" w:hAnsi="Arial" w:cs="Arial"/>
                <w:color w:val="000000"/>
                <w:kern w:val="0"/>
                <w:sz w:val="18"/>
                <w:szCs w:val="18"/>
              </w:rPr>
              <w:t>100.0</w:t>
            </w:r>
          </w:p>
        </w:tc>
        <w:tc>
          <w:tcPr>
            <w:tcW w:w="1476" w:type="dxa"/>
            <w:tcBorders>
              <w:top w:val="nil"/>
              <w:bottom w:val="single" w:sz="16" w:space="0" w:color="000000"/>
              <w:right w:val="single" w:sz="16" w:space="0" w:color="000000"/>
            </w:tcBorders>
            <w:shd w:val="clear" w:color="auto" w:fill="FFFFFF"/>
            <w:vAlign w:val="center"/>
          </w:tcPr>
          <w:p w14:paraId="35ACF649" w14:textId="77777777" w:rsidR="00EA5EBA" w:rsidRPr="00A24F76" w:rsidRDefault="00EA5EBA" w:rsidP="00EA5EBA">
            <w:pPr>
              <w:autoSpaceDE w:val="0"/>
              <w:autoSpaceDN w:val="0"/>
              <w:adjustRightInd w:val="0"/>
              <w:spacing w:line="240" w:lineRule="auto"/>
              <w:jc w:val="left"/>
              <w:rPr>
                <w:rFonts w:ascii="Times New Roman" w:hAnsi="Times New Roman" w:cs="Times New Roman"/>
                <w:kern w:val="0"/>
                <w:sz w:val="24"/>
                <w:szCs w:val="24"/>
              </w:rPr>
            </w:pPr>
          </w:p>
        </w:tc>
      </w:tr>
    </w:tbl>
    <w:p w14:paraId="47B9A3D3" w14:textId="77777777" w:rsidR="00A24F76" w:rsidRPr="00A24F76" w:rsidRDefault="00A24F76" w:rsidP="00A24F76">
      <w:pPr>
        <w:autoSpaceDE w:val="0"/>
        <w:autoSpaceDN w:val="0"/>
        <w:adjustRightInd w:val="0"/>
        <w:spacing w:line="240" w:lineRule="auto"/>
        <w:jc w:val="left"/>
        <w:rPr>
          <w:rFonts w:ascii="Times New Roman" w:hAnsi="Times New Roman" w:cs="Times New Roman"/>
          <w:kern w:val="0"/>
          <w:sz w:val="24"/>
          <w:szCs w:val="24"/>
        </w:rPr>
      </w:pPr>
    </w:p>
    <w:p w14:paraId="3A9D5440" w14:textId="77777777" w:rsidR="00A24F76" w:rsidRPr="00A24F76" w:rsidRDefault="00A24F76" w:rsidP="00A24F76">
      <w:pPr>
        <w:autoSpaceDE w:val="0"/>
        <w:autoSpaceDN w:val="0"/>
        <w:adjustRightInd w:val="0"/>
        <w:spacing w:line="400" w:lineRule="atLeast"/>
        <w:jc w:val="left"/>
        <w:rPr>
          <w:rFonts w:ascii="Times New Roman" w:hAnsi="Times New Roman" w:cs="Times New Roman"/>
          <w:kern w:val="0"/>
          <w:sz w:val="24"/>
          <w:szCs w:val="24"/>
        </w:rPr>
      </w:pPr>
    </w:p>
    <w:p w14:paraId="7F8845EF" w14:textId="77777777" w:rsidR="0057122F" w:rsidRDefault="00EA5EBA" w:rsidP="00EA5EBA">
      <w:pPr>
        <w:tabs>
          <w:tab w:val="left" w:pos="3380"/>
        </w:tabs>
      </w:pPr>
      <w:r>
        <w:t xml:space="preserve">               </w:t>
      </w:r>
      <w:r w:rsidR="0057122F">
        <w:t xml:space="preserve">       </w:t>
      </w:r>
    </w:p>
    <w:p w14:paraId="748243E8" w14:textId="77777777" w:rsidR="0057122F" w:rsidRDefault="0057122F" w:rsidP="00EA5EBA">
      <w:pPr>
        <w:tabs>
          <w:tab w:val="left" w:pos="3380"/>
        </w:tabs>
      </w:pPr>
    </w:p>
    <w:p w14:paraId="36044D92" w14:textId="77777777" w:rsidR="0057122F" w:rsidRDefault="0057122F" w:rsidP="00EA5EBA">
      <w:pPr>
        <w:tabs>
          <w:tab w:val="left" w:pos="3380"/>
        </w:tabs>
      </w:pPr>
    </w:p>
    <w:p w14:paraId="2F92EF60" w14:textId="77777777" w:rsidR="00212483" w:rsidRDefault="00212483" w:rsidP="00EA5EBA">
      <w:pPr>
        <w:tabs>
          <w:tab w:val="left" w:pos="3380"/>
        </w:tabs>
      </w:pPr>
      <w:r>
        <w:t xml:space="preserve">     </w:t>
      </w:r>
    </w:p>
    <w:p w14:paraId="24CE50C4" w14:textId="77777777" w:rsidR="00212483" w:rsidRDefault="00212483" w:rsidP="00EA5EBA">
      <w:pPr>
        <w:tabs>
          <w:tab w:val="left" w:pos="3380"/>
        </w:tabs>
      </w:pPr>
    </w:p>
    <w:p w14:paraId="22FC72C9" w14:textId="77777777" w:rsidR="00212483" w:rsidRDefault="00212483" w:rsidP="00EA5EBA">
      <w:pPr>
        <w:tabs>
          <w:tab w:val="left" w:pos="3380"/>
        </w:tabs>
      </w:pPr>
    </w:p>
    <w:p w14:paraId="3D47AE24" w14:textId="77777777" w:rsidR="00212483" w:rsidRDefault="00212483" w:rsidP="00EA5EBA">
      <w:pPr>
        <w:tabs>
          <w:tab w:val="left" w:pos="3380"/>
        </w:tabs>
      </w:pPr>
    </w:p>
    <w:p w14:paraId="02A7F731" w14:textId="77777777" w:rsidR="00212483" w:rsidRDefault="00212483" w:rsidP="00EA5EBA">
      <w:pPr>
        <w:tabs>
          <w:tab w:val="left" w:pos="3380"/>
        </w:tabs>
      </w:pPr>
    </w:p>
    <w:p w14:paraId="4A492575" w14:textId="77777777" w:rsidR="00212483" w:rsidRDefault="00212483" w:rsidP="00EA5EBA">
      <w:pPr>
        <w:tabs>
          <w:tab w:val="left" w:pos="3380"/>
        </w:tabs>
      </w:pPr>
    </w:p>
    <w:p w14:paraId="5333156E" w14:textId="5A13BD86" w:rsidR="00C64884" w:rsidRPr="00C64884" w:rsidRDefault="00212483" w:rsidP="00EA5EBA">
      <w:pPr>
        <w:tabs>
          <w:tab w:val="left" w:pos="3380"/>
        </w:tabs>
      </w:pPr>
      <w:r>
        <w:t xml:space="preserve">                               </w:t>
      </w:r>
      <w:r w:rsidR="00C64884" w:rsidRPr="00C64884">
        <w:t>Interpretation of Awareness Frequency Table in Gender Challenges Research</w:t>
      </w:r>
    </w:p>
    <w:p w14:paraId="69CA06E8" w14:textId="77777777" w:rsidR="00C64884" w:rsidRPr="00C64884" w:rsidRDefault="00C64884" w:rsidP="00C64884">
      <w:pPr>
        <w:pStyle w:val="ListParagraph"/>
        <w:tabs>
          <w:tab w:val="left" w:pos="3380"/>
        </w:tabs>
      </w:pPr>
      <w:r w:rsidRPr="00C64884">
        <w:t>This frequency table presents quantitative findings regarding respondents' awareness of gender-specific challenges faced by women and marginalized genders within their community, including issues such as the pay gap, domestic violence, and unequal access to education. The data reveals a strikingly high level of reported awareness among the surveyed population (N=100). An overwhelming majority of respondents, 98% (n=98), indicated they were aware ("Yes") of these challenges. Conversely, a very small minority, only 2% (n=2), reported being unaware ("No"). The "Valid Percent" column confirms that there are no missing values in this dataset, as both percentages sum to 100%, and the "Cumulative Percent" clearly illustrates that nearly all responses were captured within the first valid category ("Yes").</w:t>
      </w:r>
    </w:p>
    <w:p w14:paraId="447F78DB" w14:textId="03952081" w:rsidR="00A55B2A" w:rsidRDefault="00C64884" w:rsidP="00C64884">
      <w:pPr>
        <w:pStyle w:val="ListParagraph"/>
        <w:tabs>
          <w:tab w:val="left" w:pos="3380"/>
        </w:tabs>
      </w:pPr>
      <w:r w:rsidRPr="00C64884">
        <w:t xml:space="preserve">The primary implication of this data is the near-universal self-reported awareness of gender-specific challenges within the studied community sample. This exceptionally high percentage (98%) suggests that concepts like the gender pay gap, domestic violence, and educational inequities are widely recognized topics among the participants. This could reflect successful awareness-raising efforts by advocacy groups, media coverage, educational initiatives, or integration of these issues into </w:t>
      </w:r>
      <w:r w:rsidRPr="00C64884">
        <w:lastRenderedPageBreak/>
        <w:t>public discourse within the community context. The minimal number reporting unawareness (2%) further underscores the pervasiveness of this recognition, potentially indicating that these challenges are no longer niche concerns but are perceived as significant societal issues by the vast majority. However, this finding necessitates critical consideration of the research methodology and potential limitations. The measure captures *self-reported* awareness, not depth of understanding, nuanced comprehension of root causes, personal commitment to addressing the issues, or recognition of intersectional complexities (e.g., how race, class, or sexuality might compound these challenges for marginalized genders). Furthermore, the possibility of social desirability bias must be acknowledged; respondents might feel societal pressure to report awareness even if their actual understanding is superficial, potentially inflating the "Yes" percentage. The table also does not provide information on the demographic composition of the sample (e.g., gender, age, education level, socioeconomic status), which could significantly influence awareness levels. For instance, women or gender-diverse individuals might report higher awareness due to lived experience, or highly educated respondents might be more exposed to these concepts.</w:t>
      </w:r>
    </w:p>
    <w:p w14:paraId="61F78D3A" w14:textId="77777777" w:rsidR="007A36BA" w:rsidRDefault="007A36BA" w:rsidP="00260D35">
      <w:pPr>
        <w:pStyle w:val="ListParagraph"/>
        <w:tabs>
          <w:tab w:val="left" w:pos="3380"/>
        </w:tabs>
      </w:pPr>
    </w:p>
    <w:p w14:paraId="2B149BAF" w14:textId="77777777" w:rsidR="00465AE7" w:rsidRDefault="00465AE7" w:rsidP="00465AE7">
      <w:pPr>
        <w:autoSpaceDE w:val="0"/>
        <w:autoSpaceDN w:val="0"/>
        <w:adjustRightInd w:val="0"/>
        <w:spacing w:line="240" w:lineRule="auto"/>
        <w:jc w:val="left"/>
        <w:rPr>
          <w:rFonts w:ascii="Times New Roman" w:hAnsi="Times New Roman" w:cs="Times New Roman"/>
          <w:kern w:val="0"/>
          <w:sz w:val="24"/>
          <w:szCs w:val="24"/>
        </w:rPr>
      </w:pPr>
    </w:p>
    <w:p w14:paraId="460E2A05" w14:textId="77777777" w:rsidR="008D1AE9" w:rsidRPr="00465AE7" w:rsidRDefault="008D1AE9" w:rsidP="00465AE7">
      <w:pPr>
        <w:autoSpaceDE w:val="0"/>
        <w:autoSpaceDN w:val="0"/>
        <w:adjustRightInd w:val="0"/>
        <w:spacing w:line="240" w:lineRule="auto"/>
        <w:jc w:val="left"/>
        <w:rPr>
          <w:rFonts w:ascii="Times New Roman" w:hAnsi="Times New Roman" w:cs="Times New Roman"/>
          <w:kern w:val="0"/>
          <w:sz w:val="24"/>
          <w:szCs w:val="24"/>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465AE7" w:rsidRPr="00465AE7" w14:paraId="703C7687" w14:textId="77777777">
        <w:trPr>
          <w:cantSplit/>
        </w:trPr>
        <w:tc>
          <w:tcPr>
            <w:tcW w:w="6544" w:type="dxa"/>
            <w:gridSpan w:val="6"/>
            <w:tcBorders>
              <w:top w:val="nil"/>
              <w:left w:val="nil"/>
              <w:bottom w:val="nil"/>
              <w:right w:val="nil"/>
            </w:tcBorders>
            <w:shd w:val="clear" w:color="auto" w:fill="FFFFFF"/>
            <w:vAlign w:val="center"/>
          </w:tcPr>
          <w:p w14:paraId="50A54B09" w14:textId="77777777" w:rsidR="00465AE7" w:rsidRPr="00465AE7" w:rsidRDefault="00465AE7" w:rsidP="00465AE7">
            <w:pPr>
              <w:autoSpaceDE w:val="0"/>
              <w:autoSpaceDN w:val="0"/>
              <w:adjustRightInd w:val="0"/>
              <w:spacing w:line="320" w:lineRule="atLeast"/>
              <w:ind w:left="60" w:right="60"/>
              <w:jc w:val="center"/>
              <w:rPr>
                <w:rFonts w:ascii="Arial" w:hAnsi="Arial" w:cs="Arial"/>
                <w:color w:val="000000"/>
                <w:kern w:val="0"/>
                <w:sz w:val="18"/>
                <w:szCs w:val="18"/>
              </w:rPr>
            </w:pPr>
            <w:r w:rsidRPr="00465AE7">
              <w:rPr>
                <w:rFonts w:ascii="Arial" w:hAnsi="Arial" w:cs="Arial"/>
                <w:b/>
                <w:bCs/>
                <w:color w:val="000000"/>
                <w:kern w:val="0"/>
                <w:sz w:val="18"/>
                <w:szCs w:val="18"/>
              </w:rPr>
              <w:t>7. Have you received formal training or education on addressing gender inequalities in your social work practice?</w:t>
            </w:r>
          </w:p>
        </w:tc>
      </w:tr>
      <w:tr w:rsidR="00465AE7" w:rsidRPr="00465AE7" w14:paraId="3B660D9D" w14:textId="77777777">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5A9C0636" w14:textId="77777777" w:rsidR="00465AE7" w:rsidRPr="00465AE7" w:rsidRDefault="00465AE7" w:rsidP="00465AE7">
            <w:pPr>
              <w:autoSpaceDE w:val="0"/>
              <w:autoSpaceDN w:val="0"/>
              <w:adjustRightInd w:val="0"/>
              <w:spacing w:line="240" w:lineRule="auto"/>
              <w:jc w:val="left"/>
              <w:rPr>
                <w:rFonts w:ascii="Times New Roman" w:hAnsi="Times New Roman" w:cs="Times New Roman"/>
                <w:kern w:val="0"/>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14:paraId="2EA7387C" w14:textId="77777777" w:rsidR="00465AE7" w:rsidRPr="00465AE7" w:rsidRDefault="00465AE7" w:rsidP="00465AE7">
            <w:pPr>
              <w:autoSpaceDE w:val="0"/>
              <w:autoSpaceDN w:val="0"/>
              <w:adjustRightInd w:val="0"/>
              <w:spacing w:line="320" w:lineRule="atLeast"/>
              <w:ind w:left="60" w:right="60"/>
              <w:jc w:val="center"/>
              <w:rPr>
                <w:rFonts w:ascii="Arial" w:hAnsi="Arial" w:cs="Arial"/>
                <w:color w:val="000000"/>
                <w:kern w:val="0"/>
                <w:sz w:val="18"/>
                <w:szCs w:val="18"/>
              </w:rPr>
            </w:pPr>
            <w:r w:rsidRPr="00465AE7">
              <w:rPr>
                <w:rFonts w:ascii="Arial" w:hAnsi="Arial" w:cs="Arial"/>
                <w:color w:val="000000"/>
                <w:kern w:val="0"/>
                <w:sz w:val="18"/>
                <w:szCs w:val="18"/>
              </w:rPr>
              <w:t>Frequency</w:t>
            </w:r>
          </w:p>
        </w:tc>
        <w:tc>
          <w:tcPr>
            <w:tcW w:w="1029" w:type="dxa"/>
            <w:tcBorders>
              <w:top w:val="single" w:sz="16" w:space="0" w:color="000000"/>
              <w:bottom w:val="single" w:sz="16" w:space="0" w:color="000000"/>
            </w:tcBorders>
            <w:shd w:val="clear" w:color="auto" w:fill="FFFFFF"/>
            <w:vAlign w:val="bottom"/>
          </w:tcPr>
          <w:p w14:paraId="602EB1FB" w14:textId="77777777" w:rsidR="00465AE7" w:rsidRPr="00465AE7" w:rsidRDefault="00465AE7" w:rsidP="00465AE7">
            <w:pPr>
              <w:autoSpaceDE w:val="0"/>
              <w:autoSpaceDN w:val="0"/>
              <w:adjustRightInd w:val="0"/>
              <w:spacing w:line="320" w:lineRule="atLeast"/>
              <w:ind w:left="60" w:right="60"/>
              <w:jc w:val="center"/>
              <w:rPr>
                <w:rFonts w:ascii="Arial" w:hAnsi="Arial" w:cs="Arial"/>
                <w:color w:val="000000"/>
                <w:kern w:val="0"/>
                <w:sz w:val="18"/>
                <w:szCs w:val="18"/>
              </w:rPr>
            </w:pPr>
            <w:r w:rsidRPr="00465AE7">
              <w:rPr>
                <w:rFonts w:ascii="Arial" w:hAnsi="Arial" w:cs="Arial"/>
                <w:color w:val="000000"/>
                <w:kern w:val="0"/>
                <w:sz w:val="18"/>
                <w:szCs w:val="18"/>
              </w:rPr>
              <w:t>Percent</w:t>
            </w:r>
          </w:p>
        </w:tc>
        <w:tc>
          <w:tcPr>
            <w:tcW w:w="1398" w:type="dxa"/>
            <w:tcBorders>
              <w:top w:val="single" w:sz="16" w:space="0" w:color="000000"/>
              <w:bottom w:val="single" w:sz="16" w:space="0" w:color="000000"/>
            </w:tcBorders>
            <w:shd w:val="clear" w:color="auto" w:fill="FFFFFF"/>
            <w:vAlign w:val="bottom"/>
          </w:tcPr>
          <w:p w14:paraId="7A6EC837" w14:textId="77777777" w:rsidR="00465AE7" w:rsidRPr="00465AE7" w:rsidRDefault="00465AE7" w:rsidP="00465AE7">
            <w:pPr>
              <w:autoSpaceDE w:val="0"/>
              <w:autoSpaceDN w:val="0"/>
              <w:adjustRightInd w:val="0"/>
              <w:spacing w:line="320" w:lineRule="atLeast"/>
              <w:ind w:left="60" w:right="60"/>
              <w:jc w:val="center"/>
              <w:rPr>
                <w:rFonts w:ascii="Arial" w:hAnsi="Arial" w:cs="Arial"/>
                <w:color w:val="000000"/>
                <w:kern w:val="0"/>
                <w:sz w:val="18"/>
                <w:szCs w:val="18"/>
              </w:rPr>
            </w:pPr>
            <w:r w:rsidRPr="00465AE7">
              <w:rPr>
                <w:rFonts w:ascii="Arial" w:hAnsi="Arial" w:cs="Arial"/>
                <w:color w:val="000000"/>
                <w:kern w:val="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0703E49D" w14:textId="77777777" w:rsidR="00465AE7" w:rsidRPr="00465AE7" w:rsidRDefault="00465AE7" w:rsidP="00465AE7">
            <w:pPr>
              <w:autoSpaceDE w:val="0"/>
              <w:autoSpaceDN w:val="0"/>
              <w:adjustRightInd w:val="0"/>
              <w:spacing w:line="320" w:lineRule="atLeast"/>
              <w:ind w:left="60" w:right="60"/>
              <w:jc w:val="center"/>
              <w:rPr>
                <w:rFonts w:ascii="Arial" w:hAnsi="Arial" w:cs="Arial"/>
                <w:color w:val="000000"/>
                <w:kern w:val="0"/>
                <w:sz w:val="18"/>
                <w:szCs w:val="18"/>
              </w:rPr>
            </w:pPr>
            <w:r w:rsidRPr="00465AE7">
              <w:rPr>
                <w:rFonts w:ascii="Arial" w:hAnsi="Arial" w:cs="Arial"/>
                <w:color w:val="000000"/>
                <w:kern w:val="0"/>
                <w:sz w:val="18"/>
                <w:szCs w:val="18"/>
              </w:rPr>
              <w:t>Cumulative Percent</w:t>
            </w:r>
          </w:p>
        </w:tc>
      </w:tr>
      <w:tr w:rsidR="00465AE7" w:rsidRPr="00465AE7" w14:paraId="6F8DB012" w14:textId="77777777">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55250AD0" w14:textId="77777777" w:rsidR="00465AE7" w:rsidRPr="00465AE7" w:rsidRDefault="00465AE7" w:rsidP="00465AE7">
            <w:pPr>
              <w:autoSpaceDE w:val="0"/>
              <w:autoSpaceDN w:val="0"/>
              <w:adjustRightInd w:val="0"/>
              <w:spacing w:line="320" w:lineRule="atLeast"/>
              <w:ind w:left="60" w:right="60"/>
              <w:jc w:val="left"/>
              <w:rPr>
                <w:rFonts w:ascii="Arial" w:hAnsi="Arial" w:cs="Arial"/>
                <w:color w:val="000000"/>
                <w:kern w:val="0"/>
                <w:sz w:val="18"/>
                <w:szCs w:val="18"/>
              </w:rPr>
            </w:pPr>
            <w:r w:rsidRPr="00465AE7">
              <w:rPr>
                <w:rFonts w:ascii="Arial" w:hAnsi="Arial" w:cs="Arial"/>
                <w:color w:val="000000"/>
                <w:kern w:val="0"/>
                <w:sz w:val="18"/>
                <w:szCs w:val="18"/>
              </w:rPr>
              <w:t>Valid</w:t>
            </w:r>
          </w:p>
        </w:tc>
        <w:tc>
          <w:tcPr>
            <w:tcW w:w="737" w:type="dxa"/>
            <w:tcBorders>
              <w:top w:val="single" w:sz="16" w:space="0" w:color="000000"/>
              <w:left w:val="nil"/>
              <w:bottom w:val="nil"/>
              <w:right w:val="single" w:sz="16" w:space="0" w:color="000000"/>
            </w:tcBorders>
            <w:shd w:val="clear" w:color="auto" w:fill="FFFFFF"/>
          </w:tcPr>
          <w:p w14:paraId="091CB20C" w14:textId="77777777" w:rsidR="00465AE7" w:rsidRPr="00465AE7" w:rsidRDefault="00465AE7" w:rsidP="00465AE7">
            <w:pPr>
              <w:autoSpaceDE w:val="0"/>
              <w:autoSpaceDN w:val="0"/>
              <w:adjustRightInd w:val="0"/>
              <w:spacing w:line="320" w:lineRule="atLeast"/>
              <w:ind w:left="60" w:right="60"/>
              <w:jc w:val="left"/>
              <w:rPr>
                <w:rFonts w:ascii="Arial" w:hAnsi="Arial" w:cs="Arial"/>
                <w:color w:val="000000"/>
                <w:kern w:val="0"/>
                <w:sz w:val="18"/>
                <w:szCs w:val="18"/>
              </w:rPr>
            </w:pPr>
            <w:r w:rsidRPr="00465AE7">
              <w:rPr>
                <w:rFonts w:ascii="Arial" w:hAnsi="Arial" w:cs="Arial"/>
                <w:color w:val="000000"/>
                <w:kern w:val="0"/>
                <w:sz w:val="18"/>
                <w:szCs w:val="18"/>
              </w:rPr>
              <w:t>No</w:t>
            </w:r>
          </w:p>
        </w:tc>
        <w:tc>
          <w:tcPr>
            <w:tcW w:w="1168" w:type="dxa"/>
            <w:tcBorders>
              <w:top w:val="single" w:sz="16" w:space="0" w:color="000000"/>
              <w:left w:val="single" w:sz="16" w:space="0" w:color="000000"/>
              <w:bottom w:val="nil"/>
            </w:tcBorders>
            <w:shd w:val="clear" w:color="auto" w:fill="FFFFFF"/>
            <w:vAlign w:val="center"/>
          </w:tcPr>
          <w:p w14:paraId="2CE719BA" w14:textId="77777777" w:rsidR="00465AE7" w:rsidRPr="00465AE7" w:rsidRDefault="00465AE7" w:rsidP="00465AE7">
            <w:pPr>
              <w:autoSpaceDE w:val="0"/>
              <w:autoSpaceDN w:val="0"/>
              <w:adjustRightInd w:val="0"/>
              <w:spacing w:line="320" w:lineRule="atLeast"/>
              <w:ind w:left="60" w:right="60"/>
              <w:jc w:val="right"/>
              <w:rPr>
                <w:rFonts w:ascii="Arial" w:hAnsi="Arial" w:cs="Arial"/>
                <w:color w:val="000000"/>
                <w:kern w:val="0"/>
                <w:sz w:val="18"/>
                <w:szCs w:val="18"/>
              </w:rPr>
            </w:pPr>
            <w:r w:rsidRPr="00465AE7">
              <w:rPr>
                <w:rFonts w:ascii="Arial" w:hAnsi="Arial" w:cs="Arial"/>
                <w:color w:val="000000"/>
                <w:kern w:val="0"/>
                <w:sz w:val="18"/>
                <w:szCs w:val="18"/>
              </w:rPr>
              <w:t>25</w:t>
            </w:r>
          </w:p>
        </w:tc>
        <w:tc>
          <w:tcPr>
            <w:tcW w:w="1029" w:type="dxa"/>
            <w:tcBorders>
              <w:top w:val="single" w:sz="16" w:space="0" w:color="000000"/>
              <w:bottom w:val="nil"/>
            </w:tcBorders>
            <w:shd w:val="clear" w:color="auto" w:fill="FFFFFF"/>
            <w:vAlign w:val="center"/>
          </w:tcPr>
          <w:p w14:paraId="38D2C438" w14:textId="77777777" w:rsidR="00465AE7" w:rsidRPr="00465AE7" w:rsidRDefault="00465AE7" w:rsidP="00465AE7">
            <w:pPr>
              <w:autoSpaceDE w:val="0"/>
              <w:autoSpaceDN w:val="0"/>
              <w:adjustRightInd w:val="0"/>
              <w:spacing w:line="320" w:lineRule="atLeast"/>
              <w:ind w:left="60" w:right="60"/>
              <w:jc w:val="right"/>
              <w:rPr>
                <w:rFonts w:ascii="Arial" w:hAnsi="Arial" w:cs="Arial"/>
                <w:color w:val="000000"/>
                <w:kern w:val="0"/>
                <w:sz w:val="18"/>
                <w:szCs w:val="18"/>
              </w:rPr>
            </w:pPr>
            <w:r w:rsidRPr="00465AE7">
              <w:rPr>
                <w:rFonts w:ascii="Arial" w:hAnsi="Arial" w:cs="Arial"/>
                <w:color w:val="000000"/>
                <w:kern w:val="0"/>
                <w:sz w:val="18"/>
                <w:szCs w:val="18"/>
              </w:rPr>
              <w:t>25.0</w:t>
            </w:r>
          </w:p>
        </w:tc>
        <w:tc>
          <w:tcPr>
            <w:tcW w:w="1398" w:type="dxa"/>
            <w:tcBorders>
              <w:top w:val="single" w:sz="16" w:space="0" w:color="000000"/>
              <w:bottom w:val="nil"/>
            </w:tcBorders>
            <w:shd w:val="clear" w:color="auto" w:fill="FFFFFF"/>
            <w:vAlign w:val="center"/>
          </w:tcPr>
          <w:p w14:paraId="08BE7569" w14:textId="77777777" w:rsidR="00465AE7" w:rsidRPr="00465AE7" w:rsidRDefault="00465AE7" w:rsidP="00465AE7">
            <w:pPr>
              <w:autoSpaceDE w:val="0"/>
              <w:autoSpaceDN w:val="0"/>
              <w:adjustRightInd w:val="0"/>
              <w:spacing w:line="320" w:lineRule="atLeast"/>
              <w:ind w:left="60" w:right="60"/>
              <w:jc w:val="right"/>
              <w:rPr>
                <w:rFonts w:ascii="Arial" w:hAnsi="Arial" w:cs="Arial"/>
                <w:color w:val="000000"/>
                <w:kern w:val="0"/>
                <w:sz w:val="18"/>
                <w:szCs w:val="18"/>
              </w:rPr>
            </w:pPr>
            <w:r w:rsidRPr="00465AE7">
              <w:rPr>
                <w:rFonts w:ascii="Arial" w:hAnsi="Arial" w:cs="Arial"/>
                <w:color w:val="000000"/>
                <w:kern w:val="0"/>
                <w:sz w:val="18"/>
                <w:szCs w:val="18"/>
              </w:rPr>
              <w:t>25.0</w:t>
            </w:r>
          </w:p>
        </w:tc>
        <w:tc>
          <w:tcPr>
            <w:tcW w:w="1475" w:type="dxa"/>
            <w:tcBorders>
              <w:top w:val="single" w:sz="16" w:space="0" w:color="000000"/>
              <w:bottom w:val="nil"/>
              <w:right w:val="single" w:sz="16" w:space="0" w:color="000000"/>
            </w:tcBorders>
            <w:shd w:val="clear" w:color="auto" w:fill="FFFFFF"/>
            <w:vAlign w:val="center"/>
          </w:tcPr>
          <w:p w14:paraId="0DAAE130" w14:textId="77777777" w:rsidR="00465AE7" w:rsidRPr="00465AE7" w:rsidRDefault="00465AE7" w:rsidP="00465AE7">
            <w:pPr>
              <w:autoSpaceDE w:val="0"/>
              <w:autoSpaceDN w:val="0"/>
              <w:adjustRightInd w:val="0"/>
              <w:spacing w:line="320" w:lineRule="atLeast"/>
              <w:ind w:left="60" w:right="60"/>
              <w:jc w:val="right"/>
              <w:rPr>
                <w:rFonts w:ascii="Arial" w:hAnsi="Arial" w:cs="Arial"/>
                <w:color w:val="000000"/>
                <w:kern w:val="0"/>
                <w:sz w:val="18"/>
                <w:szCs w:val="18"/>
              </w:rPr>
            </w:pPr>
            <w:r w:rsidRPr="00465AE7">
              <w:rPr>
                <w:rFonts w:ascii="Arial" w:hAnsi="Arial" w:cs="Arial"/>
                <w:color w:val="000000"/>
                <w:kern w:val="0"/>
                <w:sz w:val="18"/>
                <w:szCs w:val="18"/>
              </w:rPr>
              <w:t>25.0</w:t>
            </w:r>
          </w:p>
        </w:tc>
      </w:tr>
      <w:tr w:rsidR="00465AE7" w:rsidRPr="00465AE7" w14:paraId="577E98F9"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9A8A73D" w14:textId="77777777" w:rsidR="00465AE7" w:rsidRPr="00465AE7" w:rsidRDefault="00465AE7" w:rsidP="00465AE7">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nil"/>
              <w:right w:val="single" w:sz="16" w:space="0" w:color="000000"/>
            </w:tcBorders>
            <w:shd w:val="clear" w:color="auto" w:fill="FFFFFF"/>
          </w:tcPr>
          <w:p w14:paraId="46249D03" w14:textId="77777777" w:rsidR="00465AE7" w:rsidRPr="00465AE7" w:rsidRDefault="00465AE7" w:rsidP="00465AE7">
            <w:pPr>
              <w:autoSpaceDE w:val="0"/>
              <w:autoSpaceDN w:val="0"/>
              <w:adjustRightInd w:val="0"/>
              <w:spacing w:line="320" w:lineRule="atLeast"/>
              <w:ind w:left="60" w:right="60"/>
              <w:jc w:val="left"/>
              <w:rPr>
                <w:rFonts w:ascii="Arial" w:hAnsi="Arial" w:cs="Arial"/>
                <w:color w:val="000000"/>
                <w:kern w:val="0"/>
                <w:sz w:val="18"/>
                <w:szCs w:val="18"/>
              </w:rPr>
            </w:pPr>
            <w:r w:rsidRPr="00465AE7">
              <w:rPr>
                <w:rFonts w:ascii="Arial" w:hAnsi="Arial" w:cs="Arial"/>
                <w:color w:val="000000"/>
                <w:kern w:val="0"/>
                <w:sz w:val="18"/>
                <w:szCs w:val="18"/>
              </w:rPr>
              <w:t>Yes</w:t>
            </w:r>
          </w:p>
        </w:tc>
        <w:tc>
          <w:tcPr>
            <w:tcW w:w="1168" w:type="dxa"/>
            <w:tcBorders>
              <w:top w:val="nil"/>
              <w:left w:val="single" w:sz="16" w:space="0" w:color="000000"/>
              <w:bottom w:val="nil"/>
            </w:tcBorders>
            <w:shd w:val="clear" w:color="auto" w:fill="FFFFFF"/>
            <w:vAlign w:val="center"/>
          </w:tcPr>
          <w:p w14:paraId="05A84B5E" w14:textId="77777777" w:rsidR="00465AE7" w:rsidRPr="00465AE7" w:rsidRDefault="00465AE7" w:rsidP="00465AE7">
            <w:pPr>
              <w:autoSpaceDE w:val="0"/>
              <w:autoSpaceDN w:val="0"/>
              <w:adjustRightInd w:val="0"/>
              <w:spacing w:line="320" w:lineRule="atLeast"/>
              <w:ind w:left="60" w:right="60"/>
              <w:jc w:val="right"/>
              <w:rPr>
                <w:rFonts w:ascii="Arial" w:hAnsi="Arial" w:cs="Arial"/>
                <w:color w:val="000000"/>
                <w:kern w:val="0"/>
                <w:sz w:val="18"/>
                <w:szCs w:val="18"/>
              </w:rPr>
            </w:pPr>
            <w:r w:rsidRPr="00465AE7">
              <w:rPr>
                <w:rFonts w:ascii="Arial" w:hAnsi="Arial" w:cs="Arial"/>
                <w:color w:val="000000"/>
                <w:kern w:val="0"/>
                <w:sz w:val="18"/>
                <w:szCs w:val="18"/>
              </w:rPr>
              <w:t>75</w:t>
            </w:r>
          </w:p>
        </w:tc>
        <w:tc>
          <w:tcPr>
            <w:tcW w:w="1029" w:type="dxa"/>
            <w:tcBorders>
              <w:top w:val="nil"/>
              <w:bottom w:val="nil"/>
            </w:tcBorders>
            <w:shd w:val="clear" w:color="auto" w:fill="FFFFFF"/>
            <w:vAlign w:val="center"/>
          </w:tcPr>
          <w:p w14:paraId="24600F5F" w14:textId="77777777" w:rsidR="00465AE7" w:rsidRPr="00465AE7" w:rsidRDefault="00465AE7" w:rsidP="00465AE7">
            <w:pPr>
              <w:autoSpaceDE w:val="0"/>
              <w:autoSpaceDN w:val="0"/>
              <w:adjustRightInd w:val="0"/>
              <w:spacing w:line="320" w:lineRule="atLeast"/>
              <w:ind w:left="60" w:right="60"/>
              <w:jc w:val="right"/>
              <w:rPr>
                <w:rFonts w:ascii="Arial" w:hAnsi="Arial" w:cs="Arial"/>
                <w:color w:val="000000"/>
                <w:kern w:val="0"/>
                <w:sz w:val="18"/>
                <w:szCs w:val="18"/>
              </w:rPr>
            </w:pPr>
            <w:r w:rsidRPr="00465AE7">
              <w:rPr>
                <w:rFonts w:ascii="Arial" w:hAnsi="Arial" w:cs="Arial"/>
                <w:color w:val="000000"/>
                <w:kern w:val="0"/>
                <w:sz w:val="18"/>
                <w:szCs w:val="18"/>
              </w:rPr>
              <w:t>75.0</w:t>
            </w:r>
          </w:p>
        </w:tc>
        <w:tc>
          <w:tcPr>
            <w:tcW w:w="1398" w:type="dxa"/>
            <w:tcBorders>
              <w:top w:val="nil"/>
              <w:bottom w:val="nil"/>
            </w:tcBorders>
            <w:shd w:val="clear" w:color="auto" w:fill="FFFFFF"/>
            <w:vAlign w:val="center"/>
          </w:tcPr>
          <w:p w14:paraId="143A6829" w14:textId="77777777" w:rsidR="00465AE7" w:rsidRPr="00465AE7" w:rsidRDefault="00465AE7" w:rsidP="00465AE7">
            <w:pPr>
              <w:autoSpaceDE w:val="0"/>
              <w:autoSpaceDN w:val="0"/>
              <w:adjustRightInd w:val="0"/>
              <w:spacing w:line="320" w:lineRule="atLeast"/>
              <w:ind w:left="60" w:right="60"/>
              <w:jc w:val="right"/>
              <w:rPr>
                <w:rFonts w:ascii="Arial" w:hAnsi="Arial" w:cs="Arial"/>
                <w:color w:val="000000"/>
                <w:kern w:val="0"/>
                <w:sz w:val="18"/>
                <w:szCs w:val="18"/>
              </w:rPr>
            </w:pPr>
            <w:r w:rsidRPr="00465AE7">
              <w:rPr>
                <w:rFonts w:ascii="Arial" w:hAnsi="Arial" w:cs="Arial"/>
                <w:color w:val="000000"/>
                <w:kern w:val="0"/>
                <w:sz w:val="18"/>
                <w:szCs w:val="18"/>
              </w:rPr>
              <w:t>75.0</w:t>
            </w:r>
          </w:p>
        </w:tc>
        <w:tc>
          <w:tcPr>
            <w:tcW w:w="1475" w:type="dxa"/>
            <w:tcBorders>
              <w:top w:val="nil"/>
              <w:bottom w:val="nil"/>
              <w:right w:val="single" w:sz="16" w:space="0" w:color="000000"/>
            </w:tcBorders>
            <w:shd w:val="clear" w:color="auto" w:fill="FFFFFF"/>
            <w:vAlign w:val="center"/>
          </w:tcPr>
          <w:p w14:paraId="1FBAACA9" w14:textId="77777777" w:rsidR="00465AE7" w:rsidRPr="00465AE7" w:rsidRDefault="00465AE7" w:rsidP="00465AE7">
            <w:pPr>
              <w:autoSpaceDE w:val="0"/>
              <w:autoSpaceDN w:val="0"/>
              <w:adjustRightInd w:val="0"/>
              <w:spacing w:line="320" w:lineRule="atLeast"/>
              <w:ind w:left="60" w:right="60"/>
              <w:jc w:val="right"/>
              <w:rPr>
                <w:rFonts w:ascii="Arial" w:hAnsi="Arial" w:cs="Arial"/>
                <w:color w:val="000000"/>
                <w:kern w:val="0"/>
                <w:sz w:val="18"/>
                <w:szCs w:val="18"/>
              </w:rPr>
            </w:pPr>
            <w:r w:rsidRPr="00465AE7">
              <w:rPr>
                <w:rFonts w:ascii="Arial" w:hAnsi="Arial" w:cs="Arial"/>
                <w:color w:val="000000"/>
                <w:kern w:val="0"/>
                <w:sz w:val="18"/>
                <w:szCs w:val="18"/>
              </w:rPr>
              <w:t>100.0</w:t>
            </w:r>
          </w:p>
        </w:tc>
      </w:tr>
      <w:tr w:rsidR="00465AE7" w:rsidRPr="00465AE7" w14:paraId="530B74DE"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EBF7089" w14:textId="77777777" w:rsidR="00465AE7" w:rsidRPr="00465AE7" w:rsidRDefault="00465AE7" w:rsidP="00465AE7">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single" w:sz="16" w:space="0" w:color="000000"/>
              <w:right w:val="single" w:sz="16" w:space="0" w:color="000000"/>
            </w:tcBorders>
            <w:shd w:val="clear" w:color="auto" w:fill="FFFFFF"/>
          </w:tcPr>
          <w:p w14:paraId="014CF6B7" w14:textId="77777777" w:rsidR="00465AE7" w:rsidRPr="00465AE7" w:rsidRDefault="00465AE7" w:rsidP="00465AE7">
            <w:pPr>
              <w:autoSpaceDE w:val="0"/>
              <w:autoSpaceDN w:val="0"/>
              <w:adjustRightInd w:val="0"/>
              <w:spacing w:line="320" w:lineRule="atLeast"/>
              <w:ind w:left="60" w:right="60"/>
              <w:jc w:val="left"/>
              <w:rPr>
                <w:rFonts w:ascii="Arial" w:hAnsi="Arial" w:cs="Arial"/>
                <w:color w:val="000000"/>
                <w:kern w:val="0"/>
                <w:sz w:val="18"/>
                <w:szCs w:val="18"/>
              </w:rPr>
            </w:pPr>
            <w:r w:rsidRPr="00465AE7">
              <w:rPr>
                <w:rFonts w:ascii="Arial" w:hAnsi="Arial" w:cs="Arial"/>
                <w:color w:val="000000"/>
                <w:kern w:val="0"/>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00A16DC7" w14:textId="77777777" w:rsidR="00465AE7" w:rsidRPr="00465AE7" w:rsidRDefault="00465AE7" w:rsidP="00465AE7">
            <w:pPr>
              <w:autoSpaceDE w:val="0"/>
              <w:autoSpaceDN w:val="0"/>
              <w:adjustRightInd w:val="0"/>
              <w:spacing w:line="320" w:lineRule="atLeast"/>
              <w:ind w:left="60" w:right="60"/>
              <w:jc w:val="right"/>
              <w:rPr>
                <w:rFonts w:ascii="Arial" w:hAnsi="Arial" w:cs="Arial"/>
                <w:color w:val="000000"/>
                <w:kern w:val="0"/>
                <w:sz w:val="18"/>
                <w:szCs w:val="18"/>
              </w:rPr>
            </w:pPr>
            <w:r w:rsidRPr="00465AE7">
              <w:rPr>
                <w:rFonts w:ascii="Arial" w:hAnsi="Arial" w:cs="Arial"/>
                <w:color w:val="000000"/>
                <w:kern w:val="0"/>
                <w:sz w:val="18"/>
                <w:szCs w:val="18"/>
              </w:rPr>
              <w:t>100</w:t>
            </w:r>
          </w:p>
        </w:tc>
        <w:tc>
          <w:tcPr>
            <w:tcW w:w="1029" w:type="dxa"/>
            <w:tcBorders>
              <w:top w:val="nil"/>
              <w:bottom w:val="single" w:sz="16" w:space="0" w:color="000000"/>
            </w:tcBorders>
            <w:shd w:val="clear" w:color="auto" w:fill="FFFFFF"/>
            <w:vAlign w:val="center"/>
          </w:tcPr>
          <w:p w14:paraId="4BFD0D9C" w14:textId="77777777" w:rsidR="00465AE7" w:rsidRPr="00465AE7" w:rsidRDefault="00465AE7" w:rsidP="00465AE7">
            <w:pPr>
              <w:autoSpaceDE w:val="0"/>
              <w:autoSpaceDN w:val="0"/>
              <w:adjustRightInd w:val="0"/>
              <w:spacing w:line="320" w:lineRule="atLeast"/>
              <w:ind w:left="60" w:right="60"/>
              <w:jc w:val="right"/>
              <w:rPr>
                <w:rFonts w:ascii="Arial" w:hAnsi="Arial" w:cs="Arial"/>
                <w:color w:val="000000"/>
                <w:kern w:val="0"/>
                <w:sz w:val="18"/>
                <w:szCs w:val="18"/>
              </w:rPr>
            </w:pPr>
            <w:r w:rsidRPr="00465AE7">
              <w:rPr>
                <w:rFonts w:ascii="Arial" w:hAnsi="Arial" w:cs="Arial"/>
                <w:color w:val="000000"/>
                <w:kern w:val="0"/>
                <w:sz w:val="18"/>
                <w:szCs w:val="18"/>
              </w:rPr>
              <w:t>100.0</w:t>
            </w:r>
          </w:p>
        </w:tc>
        <w:tc>
          <w:tcPr>
            <w:tcW w:w="1398" w:type="dxa"/>
            <w:tcBorders>
              <w:top w:val="nil"/>
              <w:bottom w:val="single" w:sz="16" w:space="0" w:color="000000"/>
            </w:tcBorders>
            <w:shd w:val="clear" w:color="auto" w:fill="FFFFFF"/>
            <w:vAlign w:val="center"/>
          </w:tcPr>
          <w:p w14:paraId="4600065A" w14:textId="77777777" w:rsidR="00465AE7" w:rsidRPr="00465AE7" w:rsidRDefault="00465AE7" w:rsidP="00465AE7">
            <w:pPr>
              <w:autoSpaceDE w:val="0"/>
              <w:autoSpaceDN w:val="0"/>
              <w:adjustRightInd w:val="0"/>
              <w:spacing w:line="320" w:lineRule="atLeast"/>
              <w:ind w:left="60" w:right="60"/>
              <w:jc w:val="right"/>
              <w:rPr>
                <w:rFonts w:ascii="Arial" w:hAnsi="Arial" w:cs="Arial"/>
                <w:color w:val="000000"/>
                <w:kern w:val="0"/>
                <w:sz w:val="18"/>
                <w:szCs w:val="18"/>
              </w:rPr>
            </w:pPr>
            <w:r w:rsidRPr="00465AE7">
              <w:rPr>
                <w:rFonts w:ascii="Arial" w:hAnsi="Arial" w:cs="Arial"/>
                <w:color w:val="000000"/>
                <w:kern w:val="0"/>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0A0092C6" w14:textId="77777777" w:rsidR="00465AE7" w:rsidRPr="00465AE7" w:rsidRDefault="00465AE7" w:rsidP="00465AE7">
            <w:pPr>
              <w:autoSpaceDE w:val="0"/>
              <w:autoSpaceDN w:val="0"/>
              <w:adjustRightInd w:val="0"/>
              <w:spacing w:line="240" w:lineRule="auto"/>
              <w:jc w:val="left"/>
              <w:rPr>
                <w:rFonts w:ascii="Times New Roman" w:hAnsi="Times New Roman" w:cs="Times New Roman"/>
                <w:kern w:val="0"/>
                <w:sz w:val="24"/>
                <w:szCs w:val="24"/>
              </w:rPr>
            </w:pPr>
          </w:p>
        </w:tc>
      </w:tr>
    </w:tbl>
    <w:p w14:paraId="27BBC70D" w14:textId="77777777" w:rsidR="00121562" w:rsidRDefault="00121562" w:rsidP="00465AE7">
      <w:pPr>
        <w:autoSpaceDE w:val="0"/>
        <w:autoSpaceDN w:val="0"/>
        <w:adjustRightInd w:val="0"/>
        <w:spacing w:line="400" w:lineRule="atLeast"/>
        <w:jc w:val="left"/>
        <w:rPr>
          <w:rFonts w:ascii="Times New Roman" w:hAnsi="Times New Roman" w:cs="Times New Roman"/>
          <w:kern w:val="0"/>
          <w:sz w:val="24"/>
          <w:szCs w:val="24"/>
        </w:rPr>
      </w:pPr>
    </w:p>
    <w:p w14:paraId="43F991D1" w14:textId="77777777" w:rsidR="008D1AE9" w:rsidRDefault="008D1AE9" w:rsidP="00623761">
      <w:pPr>
        <w:autoSpaceDE w:val="0"/>
        <w:autoSpaceDN w:val="0"/>
        <w:adjustRightInd w:val="0"/>
        <w:jc w:val="left"/>
        <w:rPr>
          <w:rFonts w:ascii="Times New Roman" w:hAnsi="Times New Roman" w:cs="Times New Roman"/>
          <w:kern w:val="0"/>
          <w:sz w:val="24"/>
          <w:szCs w:val="24"/>
        </w:rPr>
      </w:pPr>
      <w:r>
        <w:rPr>
          <w:rFonts w:ascii="Times New Roman" w:hAnsi="Times New Roman" w:cs="Times New Roman"/>
          <w:kern w:val="0"/>
          <w:sz w:val="24"/>
          <w:szCs w:val="24"/>
        </w:rPr>
        <w:t xml:space="preserve">                                  </w:t>
      </w:r>
    </w:p>
    <w:p w14:paraId="586953EC" w14:textId="77777777" w:rsidR="008D1AE9" w:rsidRDefault="008D1AE9" w:rsidP="00623761">
      <w:pPr>
        <w:autoSpaceDE w:val="0"/>
        <w:autoSpaceDN w:val="0"/>
        <w:adjustRightInd w:val="0"/>
        <w:jc w:val="left"/>
        <w:rPr>
          <w:rFonts w:ascii="Times New Roman" w:hAnsi="Times New Roman" w:cs="Times New Roman"/>
          <w:kern w:val="0"/>
          <w:sz w:val="24"/>
          <w:szCs w:val="24"/>
        </w:rPr>
      </w:pPr>
    </w:p>
    <w:p w14:paraId="6736077E" w14:textId="4B4C1AE9" w:rsidR="000504B8" w:rsidRPr="000504B8" w:rsidRDefault="008D1AE9" w:rsidP="00623761">
      <w:pPr>
        <w:autoSpaceDE w:val="0"/>
        <w:autoSpaceDN w:val="0"/>
        <w:adjustRightInd w:val="0"/>
        <w:jc w:val="left"/>
        <w:rPr>
          <w:rFonts w:ascii="Times New Roman" w:hAnsi="Times New Roman" w:cs="Times New Roman"/>
          <w:kern w:val="0"/>
          <w:sz w:val="24"/>
          <w:szCs w:val="24"/>
        </w:rPr>
      </w:pPr>
      <w:r>
        <w:rPr>
          <w:rFonts w:ascii="Times New Roman" w:hAnsi="Times New Roman" w:cs="Times New Roman"/>
          <w:kern w:val="0"/>
          <w:sz w:val="24"/>
          <w:szCs w:val="24"/>
        </w:rPr>
        <w:t xml:space="preserve">                                  </w:t>
      </w:r>
      <w:proofErr w:type="gramStart"/>
      <w:r w:rsidR="00D32057">
        <w:rPr>
          <w:rFonts w:ascii="Times New Roman" w:hAnsi="Times New Roman" w:cs="Times New Roman"/>
          <w:kern w:val="0"/>
          <w:sz w:val="24"/>
          <w:szCs w:val="24"/>
        </w:rPr>
        <w:t xml:space="preserve">The </w:t>
      </w:r>
      <w:r w:rsidR="000504B8" w:rsidRPr="000504B8">
        <w:rPr>
          <w:rFonts w:ascii="Times New Roman" w:hAnsi="Times New Roman" w:cs="Times New Roman"/>
          <w:kern w:val="0"/>
          <w:sz w:val="24"/>
          <w:szCs w:val="24"/>
        </w:rPr>
        <w:t xml:space="preserve"> </w:t>
      </w:r>
      <w:r w:rsidR="00D32057">
        <w:rPr>
          <w:rFonts w:ascii="Times New Roman" w:hAnsi="Times New Roman" w:cs="Times New Roman"/>
          <w:kern w:val="0"/>
          <w:sz w:val="24"/>
          <w:szCs w:val="24"/>
        </w:rPr>
        <w:t>t</w:t>
      </w:r>
      <w:r w:rsidR="000504B8" w:rsidRPr="000504B8">
        <w:rPr>
          <w:rFonts w:ascii="Times New Roman" w:hAnsi="Times New Roman" w:cs="Times New Roman"/>
          <w:kern w:val="0"/>
          <w:sz w:val="24"/>
          <w:szCs w:val="24"/>
        </w:rPr>
        <w:t>raining</w:t>
      </w:r>
      <w:proofErr w:type="gramEnd"/>
      <w:r w:rsidR="000504B8" w:rsidRPr="000504B8">
        <w:rPr>
          <w:rFonts w:ascii="Times New Roman" w:hAnsi="Times New Roman" w:cs="Times New Roman"/>
          <w:kern w:val="0"/>
          <w:sz w:val="24"/>
          <w:szCs w:val="24"/>
        </w:rPr>
        <w:t xml:space="preserve"> Frequency Table in Gender Equity Research</w:t>
      </w:r>
    </w:p>
    <w:p w14:paraId="1ECA5BE5" w14:textId="77777777" w:rsidR="000504B8" w:rsidRPr="000504B8" w:rsidRDefault="000504B8" w:rsidP="00623761">
      <w:pPr>
        <w:autoSpaceDE w:val="0"/>
        <w:autoSpaceDN w:val="0"/>
        <w:adjustRightInd w:val="0"/>
        <w:jc w:val="left"/>
        <w:rPr>
          <w:rFonts w:ascii="Times New Roman" w:hAnsi="Times New Roman" w:cs="Times New Roman"/>
          <w:kern w:val="0"/>
          <w:sz w:val="24"/>
          <w:szCs w:val="24"/>
        </w:rPr>
      </w:pPr>
      <w:r w:rsidRPr="000504B8">
        <w:rPr>
          <w:rFonts w:ascii="Times New Roman" w:hAnsi="Times New Roman" w:cs="Times New Roman"/>
          <w:kern w:val="0"/>
          <w:sz w:val="24"/>
          <w:szCs w:val="24"/>
        </w:rPr>
        <w:t xml:space="preserve">This frequency table presents quantitative data regarding respondents' receipt of formal training or education specifically focused on addressing gender inequalities within their social work practice, drawn from a sample of 100 participants. The results indicate a substantial majority, 75% (n=75), reported having received such formal training ("Yes"), while a significant minority, 25% (n=25), reported they had not </w:t>
      </w:r>
      <w:r w:rsidRPr="000504B8">
        <w:rPr>
          <w:rFonts w:ascii="Times New Roman" w:hAnsi="Times New Roman" w:cs="Times New Roman"/>
          <w:kern w:val="0"/>
          <w:sz w:val="24"/>
          <w:szCs w:val="24"/>
        </w:rPr>
        <w:lastRenderedPageBreak/>
        <w:t>("No"). The "Valid Percent" column confirms complete data for this variable, as the percentages sum to 100%, and the "Cumulative Percent" efficiently illustrates the distribution, showing that a quarter of the sample falls into the "No" category before reaching totality with the "Yes" responses.</w:t>
      </w:r>
    </w:p>
    <w:p w14:paraId="232C387C" w14:textId="77777777" w:rsidR="00AC5BA5" w:rsidRDefault="000504B8" w:rsidP="00623761">
      <w:pPr>
        <w:autoSpaceDE w:val="0"/>
        <w:autoSpaceDN w:val="0"/>
        <w:adjustRightInd w:val="0"/>
        <w:jc w:val="left"/>
        <w:rPr>
          <w:rFonts w:ascii="Times New Roman" w:hAnsi="Times New Roman" w:cs="Times New Roman"/>
          <w:kern w:val="0"/>
          <w:sz w:val="24"/>
          <w:szCs w:val="24"/>
        </w:rPr>
      </w:pPr>
      <w:r w:rsidRPr="000504B8">
        <w:rPr>
          <w:rFonts w:ascii="Times New Roman" w:hAnsi="Times New Roman" w:cs="Times New Roman"/>
          <w:kern w:val="0"/>
          <w:sz w:val="24"/>
          <w:szCs w:val="24"/>
        </w:rPr>
        <w:t xml:space="preserve">The central finding is that while a clear majority of the surveyed social work practitioners possess formal training in addressing gender inequalities, a notable portion—one in four—lacks this specific educational background. This high rate of reported training (75%) is a positive indicator, suggesting that education on gender </w:t>
      </w:r>
    </w:p>
    <w:p w14:paraId="2948D7CC" w14:textId="77777777" w:rsidR="00AC5BA5" w:rsidRDefault="00AC5BA5" w:rsidP="00623761">
      <w:pPr>
        <w:autoSpaceDE w:val="0"/>
        <w:autoSpaceDN w:val="0"/>
        <w:adjustRightInd w:val="0"/>
        <w:jc w:val="left"/>
        <w:rPr>
          <w:rFonts w:ascii="Times New Roman" w:hAnsi="Times New Roman" w:cs="Times New Roman"/>
          <w:kern w:val="0"/>
          <w:sz w:val="24"/>
          <w:szCs w:val="24"/>
        </w:rPr>
      </w:pPr>
    </w:p>
    <w:p w14:paraId="01DC96F5" w14:textId="77777777" w:rsidR="00AC5BA5" w:rsidRDefault="00AC5BA5" w:rsidP="00623761">
      <w:pPr>
        <w:autoSpaceDE w:val="0"/>
        <w:autoSpaceDN w:val="0"/>
        <w:adjustRightInd w:val="0"/>
        <w:jc w:val="left"/>
        <w:rPr>
          <w:rFonts w:ascii="Times New Roman" w:hAnsi="Times New Roman" w:cs="Times New Roman"/>
          <w:kern w:val="0"/>
          <w:sz w:val="24"/>
          <w:szCs w:val="24"/>
        </w:rPr>
      </w:pPr>
    </w:p>
    <w:p w14:paraId="0EE0AFCA" w14:textId="77777777" w:rsidR="00AC5BA5" w:rsidRDefault="00AC5BA5" w:rsidP="00623761">
      <w:pPr>
        <w:autoSpaceDE w:val="0"/>
        <w:autoSpaceDN w:val="0"/>
        <w:adjustRightInd w:val="0"/>
        <w:jc w:val="left"/>
        <w:rPr>
          <w:rFonts w:ascii="Times New Roman" w:hAnsi="Times New Roman" w:cs="Times New Roman"/>
          <w:kern w:val="0"/>
          <w:sz w:val="24"/>
          <w:szCs w:val="24"/>
        </w:rPr>
      </w:pPr>
    </w:p>
    <w:p w14:paraId="49569506" w14:textId="77777777" w:rsidR="00470361" w:rsidRDefault="00470361" w:rsidP="000504B8">
      <w:pPr>
        <w:autoSpaceDE w:val="0"/>
        <w:autoSpaceDN w:val="0"/>
        <w:adjustRightInd w:val="0"/>
        <w:spacing w:line="400" w:lineRule="atLeast"/>
        <w:jc w:val="left"/>
        <w:rPr>
          <w:rFonts w:ascii="Times New Roman" w:hAnsi="Times New Roman" w:cs="Times New Roman"/>
          <w:kern w:val="0"/>
          <w:sz w:val="24"/>
          <w:szCs w:val="24"/>
        </w:rPr>
      </w:pPr>
    </w:p>
    <w:p w14:paraId="27E11376" w14:textId="77777777" w:rsidR="00470361" w:rsidRDefault="00470361" w:rsidP="000504B8">
      <w:pPr>
        <w:autoSpaceDE w:val="0"/>
        <w:autoSpaceDN w:val="0"/>
        <w:adjustRightInd w:val="0"/>
        <w:spacing w:line="400" w:lineRule="atLeast"/>
        <w:jc w:val="left"/>
        <w:rPr>
          <w:rFonts w:ascii="Times New Roman" w:hAnsi="Times New Roman" w:cs="Times New Roman"/>
          <w:kern w:val="0"/>
          <w:sz w:val="24"/>
          <w:szCs w:val="24"/>
        </w:rPr>
      </w:pPr>
    </w:p>
    <w:p w14:paraId="3808600C" w14:textId="199FF0AE" w:rsidR="00D1727E" w:rsidRDefault="000504B8" w:rsidP="000504B8">
      <w:pPr>
        <w:autoSpaceDE w:val="0"/>
        <w:autoSpaceDN w:val="0"/>
        <w:adjustRightInd w:val="0"/>
        <w:spacing w:line="400" w:lineRule="atLeast"/>
        <w:jc w:val="left"/>
        <w:rPr>
          <w:rFonts w:ascii="Times New Roman" w:hAnsi="Times New Roman" w:cs="Times New Roman"/>
          <w:kern w:val="0"/>
          <w:sz w:val="24"/>
          <w:szCs w:val="24"/>
        </w:rPr>
      </w:pPr>
      <w:r w:rsidRPr="000504B8">
        <w:rPr>
          <w:rFonts w:ascii="Times New Roman" w:hAnsi="Times New Roman" w:cs="Times New Roman"/>
          <w:kern w:val="0"/>
          <w:sz w:val="24"/>
          <w:szCs w:val="24"/>
        </w:rPr>
        <w:t xml:space="preserve">equity is integrated into the professional preparation or continuing development for many practitioners in this community. It implies a recognition within the field, or relevant training institutions, of the importance of equipping social workers with the knowledge and skills to tackle issues like the pay gap, domestic violence, and educational disparities identified in the previous awareness question (Table 6). However, the persistence of a quarter of respondents without formal training raises important considerations. This gap could signify barriers to accessing relevant training (e.g., cost, availability, time constraints), variations in curriculum requirements across different educational programs or eras, or potentially differing prioritization of gender equity content within certain practice settings or agencies. The finding necessitates caution similar to the awareness data: "Formal training" is self-reported and does not inherently measure the depth, quality, recency, or practical effectiveness of the training received. </w:t>
      </w:r>
    </w:p>
    <w:p w14:paraId="665F0826" w14:textId="77777777" w:rsidR="00D1727E" w:rsidRDefault="00D1727E" w:rsidP="000504B8">
      <w:pPr>
        <w:autoSpaceDE w:val="0"/>
        <w:autoSpaceDN w:val="0"/>
        <w:adjustRightInd w:val="0"/>
        <w:spacing w:line="400" w:lineRule="atLeast"/>
        <w:jc w:val="left"/>
        <w:rPr>
          <w:rFonts w:ascii="Times New Roman" w:hAnsi="Times New Roman" w:cs="Times New Roman"/>
          <w:kern w:val="0"/>
          <w:sz w:val="24"/>
          <w:szCs w:val="24"/>
        </w:rPr>
      </w:pPr>
    </w:p>
    <w:p w14:paraId="543421FA" w14:textId="4BC25F0B" w:rsidR="000504B8" w:rsidRPr="000504B8" w:rsidRDefault="00D1727E" w:rsidP="000504B8">
      <w:pPr>
        <w:autoSpaceDE w:val="0"/>
        <w:autoSpaceDN w:val="0"/>
        <w:adjustRightInd w:val="0"/>
        <w:spacing w:line="400" w:lineRule="atLeast"/>
        <w:jc w:val="left"/>
        <w:rPr>
          <w:rFonts w:ascii="Times New Roman" w:hAnsi="Times New Roman" w:cs="Times New Roman"/>
          <w:kern w:val="0"/>
          <w:sz w:val="24"/>
          <w:szCs w:val="24"/>
        </w:rPr>
      </w:pPr>
      <w:r>
        <w:rPr>
          <w:rFonts w:ascii="Times New Roman" w:hAnsi="Times New Roman" w:cs="Times New Roman"/>
          <w:kern w:val="0"/>
          <w:sz w:val="24"/>
          <w:szCs w:val="24"/>
        </w:rPr>
        <w:t xml:space="preserve">                                 </w:t>
      </w:r>
      <w:r w:rsidR="000504B8" w:rsidRPr="000504B8">
        <w:rPr>
          <w:rFonts w:ascii="Times New Roman" w:hAnsi="Times New Roman" w:cs="Times New Roman"/>
          <w:kern w:val="0"/>
          <w:sz w:val="24"/>
          <w:szCs w:val="24"/>
        </w:rPr>
        <w:t xml:space="preserve">A practitioner might have taken a </w:t>
      </w:r>
      <w:proofErr w:type="gramStart"/>
      <w:r w:rsidR="000504B8" w:rsidRPr="000504B8">
        <w:rPr>
          <w:rFonts w:ascii="Times New Roman" w:hAnsi="Times New Roman" w:cs="Times New Roman"/>
          <w:kern w:val="0"/>
          <w:sz w:val="24"/>
          <w:szCs w:val="24"/>
        </w:rPr>
        <w:t>single workshop years</w:t>
      </w:r>
      <w:proofErr w:type="gramEnd"/>
      <w:r w:rsidR="000504B8" w:rsidRPr="000504B8">
        <w:rPr>
          <w:rFonts w:ascii="Times New Roman" w:hAnsi="Times New Roman" w:cs="Times New Roman"/>
          <w:kern w:val="0"/>
          <w:sz w:val="24"/>
          <w:szCs w:val="24"/>
        </w:rPr>
        <w:t xml:space="preserve"> prior, meeting the "Yes" criterion but potentially lacking current or comprehensive knowledge. Conversely, some in the "No" category might possess significant informal knowledge or experience. Crucially, this table must be interpreted in conjunction with Table 6, which showed near-universal awareness</w:t>
      </w:r>
      <w:r w:rsidR="0057122F">
        <w:rPr>
          <w:rFonts w:ascii="Times New Roman" w:hAnsi="Times New Roman" w:cs="Times New Roman"/>
          <w:kern w:val="0"/>
          <w:sz w:val="24"/>
          <w:szCs w:val="24"/>
        </w:rPr>
        <w:t xml:space="preserve"> </w:t>
      </w:r>
      <w:r w:rsidR="000504B8" w:rsidRPr="000504B8">
        <w:rPr>
          <w:rFonts w:ascii="Times New Roman" w:hAnsi="Times New Roman" w:cs="Times New Roman"/>
          <w:kern w:val="0"/>
          <w:sz w:val="24"/>
          <w:szCs w:val="24"/>
        </w:rPr>
        <w:t xml:space="preserve">(98%) of gender challenges. The contrast highlights that while awareness is widespread, a significant minority (25%) lack formalized education on how to actively address these inequalities within their </w:t>
      </w:r>
      <w:r w:rsidR="000504B8" w:rsidRPr="000504B8">
        <w:rPr>
          <w:rFonts w:ascii="Times New Roman" w:hAnsi="Times New Roman" w:cs="Times New Roman"/>
          <w:kern w:val="0"/>
          <w:sz w:val="24"/>
          <w:szCs w:val="24"/>
        </w:rPr>
        <w:lastRenderedPageBreak/>
        <w:t>professional practice. This distinction is vital; awareness identifies a problem exists, while training aims to equip professionals with strategies to intervene effectively</w:t>
      </w:r>
    </w:p>
    <w:p w14:paraId="6F086017" w14:textId="265A9F58" w:rsidR="000504B8" w:rsidRPr="000504B8" w:rsidRDefault="000504B8" w:rsidP="000504B8">
      <w:pPr>
        <w:autoSpaceDE w:val="0"/>
        <w:autoSpaceDN w:val="0"/>
        <w:adjustRightInd w:val="0"/>
        <w:spacing w:line="400" w:lineRule="atLeast"/>
        <w:jc w:val="left"/>
        <w:rPr>
          <w:rFonts w:ascii="Times New Roman" w:hAnsi="Times New Roman" w:cs="Times New Roman"/>
          <w:kern w:val="0"/>
          <w:sz w:val="24"/>
          <w:szCs w:val="24"/>
        </w:rPr>
      </w:pPr>
      <w:r w:rsidRPr="000504B8">
        <w:rPr>
          <w:rFonts w:ascii="Times New Roman" w:hAnsi="Times New Roman" w:cs="Times New Roman"/>
          <w:noProof/>
          <w:kern w:val="0"/>
          <w:sz w:val="24"/>
          <w:szCs w:val="24"/>
        </w:rPr>
        <w:drawing>
          <wp:inline distT="0" distB="0" distL="0" distR="0" wp14:anchorId="2CE03270" wp14:editId="1516CA46">
            <wp:extent cx="6350" cy="6350"/>
            <wp:effectExtent l="0" t="0" r="0" b="0"/>
            <wp:docPr id="207571694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p w14:paraId="1FCE67FD" w14:textId="77777777" w:rsidR="00D1727E" w:rsidRDefault="00D1727E" w:rsidP="00465AE7">
      <w:pPr>
        <w:autoSpaceDE w:val="0"/>
        <w:autoSpaceDN w:val="0"/>
        <w:adjustRightInd w:val="0"/>
        <w:spacing w:line="400" w:lineRule="atLeast"/>
        <w:jc w:val="left"/>
        <w:rPr>
          <w:rFonts w:ascii="Times New Roman" w:hAnsi="Times New Roman" w:cs="Times New Roman"/>
          <w:kern w:val="0"/>
          <w:sz w:val="24"/>
          <w:szCs w:val="24"/>
        </w:rPr>
      </w:pPr>
    </w:p>
    <w:p w14:paraId="0894561B" w14:textId="77777777" w:rsidR="00C97711" w:rsidRDefault="00C97711" w:rsidP="00AC5BA5">
      <w:pPr>
        <w:tabs>
          <w:tab w:val="left" w:pos="3380"/>
        </w:tabs>
      </w:pPr>
    </w:p>
    <w:p w14:paraId="758CD779" w14:textId="77777777" w:rsidR="00D448DF" w:rsidRPr="00D448DF" w:rsidRDefault="00D448DF" w:rsidP="00D448DF">
      <w:pPr>
        <w:autoSpaceDE w:val="0"/>
        <w:autoSpaceDN w:val="0"/>
        <w:adjustRightInd w:val="0"/>
        <w:spacing w:line="240" w:lineRule="auto"/>
        <w:jc w:val="left"/>
        <w:rPr>
          <w:rFonts w:ascii="Times New Roman" w:hAnsi="Times New Roman" w:cs="Times New Roman"/>
          <w:kern w:val="0"/>
          <w:sz w:val="24"/>
          <w:szCs w:val="24"/>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D448DF" w:rsidRPr="00D448DF" w14:paraId="41D85593" w14:textId="77777777">
        <w:trPr>
          <w:cantSplit/>
        </w:trPr>
        <w:tc>
          <w:tcPr>
            <w:tcW w:w="6544" w:type="dxa"/>
            <w:gridSpan w:val="6"/>
            <w:tcBorders>
              <w:top w:val="nil"/>
              <w:left w:val="nil"/>
              <w:bottom w:val="nil"/>
              <w:right w:val="nil"/>
            </w:tcBorders>
            <w:shd w:val="clear" w:color="auto" w:fill="FFFFFF"/>
            <w:vAlign w:val="center"/>
          </w:tcPr>
          <w:p w14:paraId="3733307F" w14:textId="77777777" w:rsidR="00D448DF" w:rsidRPr="00D448DF" w:rsidRDefault="00D448DF" w:rsidP="00D448DF">
            <w:pPr>
              <w:autoSpaceDE w:val="0"/>
              <w:autoSpaceDN w:val="0"/>
              <w:adjustRightInd w:val="0"/>
              <w:spacing w:line="320" w:lineRule="atLeast"/>
              <w:ind w:left="60" w:right="60"/>
              <w:jc w:val="center"/>
              <w:rPr>
                <w:rFonts w:ascii="Arial" w:hAnsi="Arial" w:cs="Arial"/>
                <w:color w:val="000000"/>
                <w:kern w:val="0"/>
                <w:sz w:val="18"/>
                <w:szCs w:val="18"/>
              </w:rPr>
            </w:pPr>
            <w:r w:rsidRPr="00D448DF">
              <w:rPr>
                <w:rFonts w:ascii="Arial" w:hAnsi="Arial" w:cs="Arial"/>
                <w:b/>
                <w:bCs/>
                <w:color w:val="000000"/>
                <w:kern w:val="0"/>
                <w:sz w:val="18"/>
                <w:szCs w:val="18"/>
              </w:rPr>
              <w:t>8. Do you actively use gender-sensitive approaches (e.g., tailored communication, resource allocation) when working with clients?</w:t>
            </w:r>
          </w:p>
        </w:tc>
      </w:tr>
      <w:tr w:rsidR="00D448DF" w:rsidRPr="00D448DF" w14:paraId="3F543113" w14:textId="77777777">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2357AF49" w14:textId="77777777" w:rsidR="00D448DF" w:rsidRPr="00D448DF" w:rsidRDefault="00D448DF" w:rsidP="00D448DF">
            <w:pPr>
              <w:autoSpaceDE w:val="0"/>
              <w:autoSpaceDN w:val="0"/>
              <w:adjustRightInd w:val="0"/>
              <w:spacing w:line="240" w:lineRule="auto"/>
              <w:jc w:val="left"/>
              <w:rPr>
                <w:rFonts w:ascii="Times New Roman" w:hAnsi="Times New Roman" w:cs="Times New Roman"/>
                <w:kern w:val="0"/>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14:paraId="75EC56E9" w14:textId="77777777" w:rsidR="00D448DF" w:rsidRPr="00D448DF" w:rsidRDefault="00D448DF" w:rsidP="00D448DF">
            <w:pPr>
              <w:autoSpaceDE w:val="0"/>
              <w:autoSpaceDN w:val="0"/>
              <w:adjustRightInd w:val="0"/>
              <w:spacing w:line="320" w:lineRule="atLeast"/>
              <w:ind w:left="60" w:right="60"/>
              <w:jc w:val="center"/>
              <w:rPr>
                <w:rFonts w:ascii="Arial" w:hAnsi="Arial" w:cs="Arial"/>
                <w:color w:val="000000"/>
                <w:kern w:val="0"/>
                <w:sz w:val="18"/>
                <w:szCs w:val="18"/>
              </w:rPr>
            </w:pPr>
            <w:r w:rsidRPr="00D448DF">
              <w:rPr>
                <w:rFonts w:ascii="Arial" w:hAnsi="Arial" w:cs="Arial"/>
                <w:color w:val="000000"/>
                <w:kern w:val="0"/>
                <w:sz w:val="18"/>
                <w:szCs w:val="18"/>
              </w:rPr>
              <w:t>Frequency</w:t>
            </w:r>
          </w:p>
        </w:tc>
        <w:tc>
          <w:tcPr>
            <w:tcW w:w="1029" w:type="dxa"/>
            <w:tcBorders>
              <w:top w:val="single" w:sz="16" w:space="0" w:color="000000"/>
              <w:bottom w:val="single" w:sz="16" w:space="0" w:color="000000"/>
            </w:tcBorders>
            <w:shd w:val="clear" w:color="auto" w:fill="FFFFFF"/>
            <w:vAlign w:val="bottom"/>
          </w:tcPr>
          <w:p w14:paraId="06CF2F38" w14:textId="77777777" w:rsidR="00D448DF" w:rsidRPr="00D448DF" w:rsidRDefault="00D448DF" w:rsidP="00D448DF">
            <w:pPr>
              <w:autoSpaceDE w:val="0"/>
              <w:autoSpaceDN w:val="0"/>
              <w:adjustRightInd w:val="0"/>
              <w:spacing w:line="320" w:lineRule="atLeast"/>
              <w:ind w:left="60" w:right="60"/>
              <w:jc w:val="center"/>
              <w:rPr>
                <w:rFonts w:ascii="Arial" w:hAnsi="Arial" w:cs="Arial"/>
                <w:color w:val="000000"/>
                <w:kern w:val="0"/>
                <w:sz w:val="18"/>
                <w:szCs w:val="18"/>
              </w:rPr>
            </w:pPr>
            <w:r w:rsidRPr="00D448DF">
              <w:rPr>
                <w:rFonts w:ascii="Arial" w:hAnsi="Arial" w:cs="Arial"/>
                <w:color w:val="000000"/>
                <w:kern w:val="0"/>
                <w:sz w:val="18"/>
                <w:szCs w:val="18"/>
              </w:rPr>
              <w:t>Percent</w:t>
            </w:r>
          </w:p>
        </w:tc>
        <w:tc>
          <w:tcPr>
            <w:tcW w:w="1398" w:type="dxa"/>
            <w:tcBorders>
              <w:top w:val="single" w:sz="16" w:space="0" w:color="000000"/>
              <w:bottom w:val="single" w:sz="16" w:space="0" w:color="000000"/>
            </w:tcBorders>
            <w:shd w:val="clear" w:color="auto" w:fill="FFFFFF"/>
            <w:vAlign w:val="bottom"/>
          </w:tcPr>
          <w:p w14:paraId="55533383" w14:textId="77777777" w:rsidR="00D448DF" w:rsidRPr="00D448DF" w:rsidRDefault="00D448DF" w:rsidP="00D448DF">
            <w:pPr>
              <w:autoSpaceDE w:val="0"/>
              <w:autoSpaceDN w:val="0"/>
              <w:adjustRightInd w:val="0"/>
              <w:spacing w:line="320" w:lineRule="atLeast"/>
              <w:ind w:left="60" w:right="60"/>
              <w:jc w:val="center"/>
              <w:rPr>
                <w:rFonts w:ascii="Arial" w:hAnsi="Arial" w:cs="Arial"/>
                <w:color w:val="000000"/>
                <w:kern w:val="0"/>
                <w:sz w:val="18"/>
                <w:szCs w:val="18"/>
              </w:rPr>
            </w:pPr>
            <w:r w:rsidRPr="00D448DF">
              <w:rPr>
                <w:rFonts w:ascii="Arial" w:hAnsi="Arial" w:cs="Arial"/>
                <w:color w:val="000000"/>
                <w:kern w:val="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73EBFCF5" w14:textId="77777777" w:rsidR="00D448DF" w:rsidRPr="00D448DF" w:rsidRDefault="00D448DF" w:rsidP="00D448DF">
            <w:pPr>
              <w:autoSpaceDE w:val="0"/>
              <w:autoSpaceDN w:val="0"/>
              <w:adjustRightInd w:val="0"/>
              <w:spacing w:line="320" w:lineRule="atLeast"/>
              <w:ind w:left="60" w:right="60"/>
              <w:jc w:val="center"/>
              <w:rPr>
                <w:rFonts w:ascii="Arial" w:hAnsi="Arial" w:cs="Arial"/>
                <w:color w:val="000000"/>
                <w:kern w:val="0"/>
                <w:sz w:val="18"/>
                <w:szCs w:val="18"/>
              </w:rPr>
            </w:pPr>
            <w:r w:rsidRPr="00D448DF">
              <w:rPr>
                <w:rFonts w:ascii="Arial" w:hAnsi="Arial" w:cs="Arial"/>
                <w:color w:val="000000"/>
                <w:kern w:val="0"/>
                <w:sz w:val="18"/>
                <w:szCs w:val="18"/>
              </w:rPr>
              <w:t>Cumulative Percent</w:t>
            </w:r>
          </w:p>
        </w:tc>
      </w:tr>
      <w:tr w:rsidR="00D448DF" w:rsidRPr="00D448DF" w14:paraId="2A5D3464" w14:textId="77777777">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1BEB794D" w14:textId="77777777" w:rsidR="00D448DF" w:rsidRPr="00D448DF" w:rsidRDefault="00D448DF" w:rsidP="00D448DF">
            <w:pPr>
              <w:autoSpaceDE w:val="0"/>
              <w:autoSpaceDN w:val="0"/>
              <w:adjustRightInd w:val="0"/>
              <w:spacing w:line="320" w:lineRule="atLeast"/>
              <w:ind w:left="60" w:right="60"/>
              <w:jc w:val="left"/>
              <w:rPr>
                <w:rFonts w:ascii="Arial" w:hAnsi="Arial" w:cs="Arial"/>
                <w:color w:val="000000"/>
                <w:kern w:val="0"/>
                <w:sz w:val="18"/>
                <w:szCs w:val="18"/>
              </w:rPr>
            </w:pPr>
            <w:r w:rsidRPr="00D448DF">
              <w:rPr>
                <w:rFonts w:ascii="Arial" w:hAnsi="Arial" w:cs="Arial"/>
                <w:color w:val="000000"/>
                <w:kern w:val="0"/>
                <w:sz w:val="18"/>
                <w:szCs w:val="18"/>
              </w:rPr>
              <w:t>Valid</w:t>
            </w:r>
          </w:p>
        </w:tc>
        <w:tc>
          <w:tcPr>
            <w:tcW w:w="737" w:type="dxa"/>
            <w:tcBorders>
              <w:top w:val="single" w:sz="16" w:space="0" w:color="000000"/>
              <w:left w:val="nil"/>
              <w:bottom w:val="nil"/>
              <w:right w:val="single" w:sz="16" w:space="0" w:color="000000"/>
            </w:tcBorders>
            <w:shd w:val="clear" w:color="auto" w:fill="FFFFFF"/>
          </w:tcPr>
          <w:p w14:paraId="339938D2" w14:textId="77777777" w:rsidR="00D448DF" w:rsidRPr="00D448DF" w:rsidRDefault="00D448DF" w:rsidP="00D448DF">
            <w:pPr>
              <w:autoSpaceDE w:val="0"/>
              <w:autoSpaceDN w:val="0"/>
              <w:adjustRightInd w:val="0"/>
              <w:spacing w:line="320" w:lineRule="atLeast"/>
              <w:ind w:left="60" w:right="60"/>
              <w:jc w:val="left"/>
              <w:rPr>
                <w:rFonts w:ascii="Arial" w:hAnsi="Arial" w:cs="Arial"/>
                <w:color w:val="000000"/>
                <w:kern w:val="0"/>
                <w:sz w:val="18"/>
                <w:szCs w:val="18"/>
              </w:rPr>
            </w:pPr>
            <w:r w:rsidRPr="00D448DF">
              <w:rPr>
                <w:rFonts w:ascii="Arial" w:hAnsi="Arial" w:cs="Arial"/>
                <w:color w:val="000000"/>
                <w:kern w:val="0"/>
                <w:sz w:val="18"/>
                <w:szCs w:val="18"/>
              </w:rPr>
              <w:t>No</w:t>
            </w:r>
          </w:p>
        </w:tc>
        <w:tc>
          <w:tcPr>
            <w:tcW w:w="1168" w:type="dxa"/>
            <w:tcBorders>
              <w:top w:val="single" w:sz="16" w:space="0" w:color="000000"/>
              <w:left w:val="single" w:sz="16" w:space="0" w:color="000000"/>
              <w:bottom w:val="nil"/>
            </w:tcBorders>
            <w:shd w:val="clear" w:color="auto" w:fill="FFFFFF"/>
            <w:vAlign w:val="center"/>
          </w:tcPr>
          <w:p w14:paraId="18258C76" w14:textId="77777777" w:rsidR="00D448DF" w:rsidRPr="00D448DF" w:rsidRDefault="00D448DF" w:rsidP="00D448DF">
            <w:pPr>
              <w:autoSpaceDE w:val="0"/>
              <w:autoSpaceDN w:val="0"/>
              <w:adjustRightInd w:val="0"/>
              <w:spacing w:line="320" w:lineRule="atLeast"/>
              <w:ind w:left="60" w:right="60"/>
              <w:jc w:val="right"/>
              <w:rPr>
                <w:rFonts w:ascii="Arial" w:hAnsi="Arial" w:cs="Arial"/>
                <w:color w:val="000000"/>
                <w:kern w:val="0"/>
                <w:sz w:val="18"/>
                <w:szCs w:val="18"/>
              </w:rPr>
            </w:pPr>
            <w:r w:rsidRPr="00D448DF">
              <w:rPr>
                <w:rFonts w:ascii="Arial" w:hAnsi="Arial" w:cs="Arial"/>
                <w:color w:val="000000"/>
                <w:kern w:val="0"/>
                <w:sz w:val="18"/>
                <w:szCs w:val="18"/>
              </w:rPr>
              <w:t>14</w:t>
            </w:r>
          </w:p>
        </w:tc>
        <w:tc>
          <w:tcPr>
            <w:tcW w:w="1029" w:type="dxa"/>
            <w:tcBorders>
              <w:top w:val="single" w:sz="16" w:space="0" w:color="000000"/>
              <w:bottom w:val="nil"/>
            </w:tcBorders>
            <w:shd w:val="clear" w:color="auto" w:fill="FFFFFF"/>
            <w:vAlign w:val="center"/>
          </w:tcPr>
          <w:p w14:paraId="738A38DF" w14:textId="77777777" w:rsidR="00D448DF" w:rsidRPr="00D448DF" w:rsidRDefault="00D448DF" w:rsidP="00D448DF">
            <w:pPr>
              <w:autoSpaceDE w:val="0"/>
              <w:autoSpaceDN w:val="0"/>
              <w:adjustRightInd w:val="0"/>
              <w:spacing w:line="320" w:lineRule="atLeast"/>
              <w:ind w:left="60" w:right="60"/>
              <w:jc w:val="right"/>
              <w:rPr>
                <w:rFonts w:ascii="Arial" w:hAnsi="Arial" w:cs="Arial"/>
                <w:color w:val="000000"/>
                <w:kern w:val="0"/>
                <w:sz w:val="18"/>
                <w:szCs w:val="18"/>
              </w:rPr>
            </w:pPr>
            <w:r w:rsidRPr="00D448DF">
              <w:rPr>
                <w:rFonts w:ascii="Arial" w:hAnsi="Arial" w:cs="Arial"/>
                <w:color w:val="000000"/>
                <w:kern w:val="0"/>
                <w:sz w:val="18"/>
                <w:szCs w:val="18"/>
              </w:rPr>
              <w:t>14.0</w:t>
            </w:r>
          </w:p>
        </w:tc>
        <w:tc>
          <w:tcPr>
            <w:tcW w:w="1398" w:type="dxa"/>
            <w:tcBorders>
              <w:top w:val="single" w:sz="16" w:space="0" w:color="000000"/>
              <w:bottom w:val="nil"/>
            </w:tcBorders>
            <w:shd w:val="clear" w:color="auto" w:fill="FFFFFF"/>
            <w:vAlign w:val="center"/>
          </w:tcPr>
          <w:p w14:paraId="18B4B116" w14:textId="77777777" w:rsidR="00D448DF" w:rsidRPr="00D448DF" w:rsidRDefault="00D448DF" w:rsidP="00D448DF">
            <w:pPr>
              <w:autoSpaceDE w:val="0"/>
              <w:autoSpaceDN w:val="0"/>
              <w:adjustRightInd w:val="0"/>
              <w:spacing w:line="320" w:lineRule="atLeast"/>
              <w:ind w:left="60" w:right="60"/>
              <w:jc w:val="right"/>
              <w:rPr>
                <w:rFonts w:ascii="Arial" w:hAnsi="Arial" w:cs="Arial"/>
                <w:color w:val="000000"/>
                <w:kern w:val="0"/>
                <w:sz w:val="18"/>
                <w:szCs w:val="18"/>
              </w:rPr>
            </w:pPr>
            <w:r w:rsidRPr="00D448DF">
              <w:rPr>
                <w:rFonts w:ascii="Arial" w:hAnsi="Arial" w:cs="Arial"/>
                <w:color w:val="000000"/>
                <w:kern w:val="0"/>
                <w:sz w:val="18"/>
                <w:szCs w:val="18"/>
              </w:rPr>
              <w:t>14.0</w:t>
            </w:r>
          </w:p>
        </w:tc>
        <w:tc>
          <w:tcPr>
            <w:tcW w:w="1475" w:type="dxa"/>
            <w:tcBorders>
              <w:top w:val="single" w:sz="16" w:space="0" w:color="000000"/>
              <w:bottom w:val="nil"/>
              <w:right w:val="single" w:sz="16" w:space="0" w:color="000000"/>
            </w:tcBorders>
            <w:shd w:val="clear" w:color="auto" w:fill="FFFFFF"/>
            <w:vAlign w:val="center"/>
          </w:tcPr>
          <w:p w14:paraId="66FA4606" w14:textId="77777777" w:rsidR="00D448DF" w:rsidRPr="00D448DF" w:rsidRDefault="00D448DF" w:rsidP="00D448DF">
            <w:pPr>
              <w:autoSpaceDE w:val="0"/>
              <w:autoSpaceDN w:val="0"/>
              <w:adjustRightInd w:val="0"/>
              <w:spacing w:line="320" w:lineRule="atLeast"/>
              <w:ind w:left="60" w:right="60"/>
              <w:jc w:val="right"/>
              <w:rPr>
                <w:rFonts w:ascii="Arial" w:hAnsi="Arial" w:cs="Arial"/>
                <w:color w:val="000000"/>
                <w:kern w:val="0"/>
                <w:sz w:val="18"/>
                <w:szCs w:val="18"/>
              </w:rPr>
            </w:pPr>
            <w:r w:rsidRPr="00D448DF">
              <w:rPr>
                <w:rFonts w:ascii="Arial" w:hAnsi="Arial" w:cs="Arial"/>
                <w:color w:val="000000"/>
                <w:kern w:val="0"/>
                <w:sz w:val="18"/>
                <w:szCs w:val="18"/>
              </w:rPr>
              <w:t>14.0</w:t>
            </w:r>
          </w:p>
        </w:tc>
      </w:tr>
      <w:tr w:rsidR="00D448DF" w:rsidRPr="00D448DF" w14:paraId="53C9397B"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4AF9C7F" w14:textId="77777777" w:rsidR="00D448DF" w:rsidRPr="00D448DF" w:rsidRDefault="00D448DF" w:rsidP="00D448DF">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nil"/>
              <w:right w:val="single" w:sz="16" w:space="0" w:color="000000"/>
            </w:tcBorders>
            <w:shd w:val="clear" w:color="auto" w:fill="FFFFFF"/>
          </w:tcPr>
          <w:p w14:paraId="70138881" w14:textId="77777777" w:rsidR="00D448DF" w:rsidRPr="00D448DF" w:rsidRDefault="00D448DF" w:rsidP="00D448DF">
            <w:pPr>
              <w:autoSpaceDE w:val="0"/>
              <w:autoSpaceDN w:val="0"/>
              <w:adjustRightInd w:val="0"/>
              <w:spacing w:line="320" w:lineRule="atLeast"/>
              <w:ind w:left="60" w:right="60"/>
              <w:jc w:val="left"/>
              <w:rPr>
                <w:rFonts w:ascii="Arial" w:hAnsi="Arial" w:cs="Arial"/>
                <w:color w:val="000000"/>
                <w:kern w:val="0"/>
                <w:sz w:val="18"/>
                <w:szCs w:val="18"/>
              </w:rPr>
            </w:pPr>
            <w:r w:rsidRPr="00D448DF">
              <w:rPr>
                <w:rFonts w:ascii="Arial" w:hAnsi="Arial" w:cs="Arial"/>
                <w:color w:val="000000"/>
                <w:kern w:val="0"/>
                <w:sz w:val="18"/>
                <w:szCs w:val="18"/>
              </w:rPr>
              <w:t>Yes</w:t>
            </w:r>
          </w:p>
        </w:tc>
        <w:tc>
          <w:tcPr>
            <w:tcW w:w="1168" w:type="dxa"/>
            <w:tcBorders>
              <w:top w:val="nil"/>
              <w:left w:val="single" w:sz="16" w:space="0" w:color="000000"/>
              <w:bottom w:val="nil"/>
            </w:tcBorders>
            <w:shd w:val="clear" w:color="auto" w:fill="FFFFFF"/>
            <w:vAlign w:val="center"/>
          </w:tcPr>
          <w:p w14:paraId="3868AAEF" w14:textId="77777777" w:rsidR="00D448DF" w:rsidRPr="00D448DF" w:rsidRDefault="00D448DF" w:rsidP="00D448DF">
            <w:pPr>
              <w:autoSpaceDE w:val="0"/>
              <w:autoSpaceDN w:val="0"/>
              <w:adjustRightInd w:val="0"/>
              <w:spacing w:line="320" w:lineRule="atLeast"/>
              <w:ind w:left="60" w:right="60"/>
              <w:jc w:val="right"/>
              <w:rPr>
                <w:rFonts w:ascii="Arial" w:hAnsi="Arial" w:cs="Arial"/>
                <w:color w:val="000000"/>
                <w:kern w:val="0"/>
                <w:sz w:val="18"/>
                <w:szCs w:val="18"/>
              </w:rPr>
            </w:pPr>
            <w:r w:rsidRPr="00D448DF">
              <w:rPr>
                <w:rFonts w:ascii="Arial" w:hAnsi="Arial" w:cs="Arial"/>
                <w:color w:val="000000"/>
                <w:kern w:val="0"/>
                <w:sz w:val="18"/>
                <w:szCs w:val="18"/>
              </w:rPr>
              <w:t>86</w:t>
            </w:r>
          </w:p>
        </w:tc>
        <w:tc>
          <w:tcPr>
            <w:tcW w:w="1029" w:type="dxa"/>
            <w:tcBorders>
              <w:top w:val="nil"/>
              <w:bottom w:val="nil"/>
            </w:tcBorders>
            <w:shd w:val="clear" w:color="auto" w:fill="FFFFFF"/>
            <w:vAlign w:val="center"/>
          </w:tcPr>
          <w:p w14:paraId="22726639" w14:textId="77777777" w:rsidR="00D448DF" w:rsidRPr="00D448DF" w:rsidRDefault="00D448DF" w:rsidP="00D448DF">
            <w:pPr>
              <w:autoSpaceDE w:val="0"/>
              <w:autoSpaceDN w:val="0"/>
              <w:adjustRightInd w:val="0"/>
              <w:spacing w:line="320" w:lineRule="atLeast"/>
              <w:ind w:left="60" w:right="60"/>
              <w:jc w:val="right"/>
              <w:rPr>
                <w:rFonts w:ascii="Arial" w:hAnsi="Arial" w:cs="Arial"/>
                <w:color w:val="000000"/>
                <w:kern w:val="0"/>
                <w:sz w:val="18"/>
                <w:szCs w:val="18"/>
              </w:rPr>
            </w:pPr>
            <w:r w:rsidRPr="00D448DF">
              <w:rPr>
                <w:rFonts w:ascii="Arial" w:hAnsi="Arial" w:cs="Arial"/>
                <w:color w:val="000000"/>
                <w:kern w:val="0"/>
                <w:sz w:val="18"/>
                <w:szCs w:val="18"/>
              </w:rPr>
              <w:t>86.0</w:t>
            </w:r>
          </w:p>
        </w:tc>
        <w:tc>
          <w:tcPr>
            <w:tcW w:w="1398" w:type="dxa"/>
            <w:tcBorders>
              <w:top w:val="nil"/>
              <w:bottom w:val="nil"/>
            </w:tcBorders>
            <w:shd w:val="clear" w:color="auto" w:fill="FFFFFF"/>
            <w:vAlign w:val="center"/>
          </w:tcPr>
          <w:p w14:paraId="19C8528E" w14:textId="77777777" w:rsidR="00D448DF" w:rsidRPr="00D448DF" w:rsidRDefault="00D448DF" w:rsidP="00D448DF">
            <w:pPr>
              <w:autoSpaceDE w:val="0"/>
              <w:autoSpaceDN w:val="0"/>
              <w:adjustRightInd w:val="0"/>
              <w:spacing w:line="320" w:lineRule="atLeast"/>
              <w:ind w:left="60" w:right="60"/>
              <w:jc w:val="right"/>
              <w:rPr>
                <w:rFonts w:ascii="Arial" w:hAnsi="Arial" w:cs="Arial"/>
                <w:color w:val="000000"/>
                <w:kern w:val="0"/>
                <w:sz w:val="18"/>
                <w:szCs w:val="18"/>
              </w:rPr>
            </w:pPr>
            <w:r w:rsidRPr="00D448DF">
              <w:rPr>
                <w:rFonts w:ascii="Arial" w:hAnsi="Arial" w:cs="Arial"/>
                <w:color w:val="000000"/>
                <w:kern w:val="0"/>
                <w:sz w:val="18"/>
                <w:szCs w:val="18"/>
              </w:rPr>
              <w:t>86.0</w:t>
            </w:r>
          </w:p>
        </w:tc>
        <w:tc>
          <w:tcPr>
            <w:tcW w:w="1475" w:type="dxa"/>
            <w:tcBorders>
              <w:top w:val="nil"/>
              <w:bottom w:val="nil"/>
              <w:right w:val="single" w:sz="16" w:space="0" w:color="000000"/>
            </w:tcBorders>
            <w:shd w:val="clear" w:color="auto" w:fill="FFFFFF"/>
            <w:vAlign w:val="center"/>
          </w:tcPr>
          <w:p w14:paraId="3513CDC1" w14:textId="77777777" w:rsidR="00D448DF" w:rsidRPr="00D448DF" w:rsidRDefault="00D448DF" w:rsidP="00D448DF">
            <w:pPr>
              <w:autoSpaceDE w:val="0"/>
              <w:autoSpaceDN w:val="0"/>
              <w:adjustRightInd w:val="0"/>
              <w:spacing w:line="320" w:lineRule="atLeast"/>
              <w:ind w:left="60" w:right="60"/>
              <w:jc w:val="right"/>
              <w:rPr>
                <w:rFonts w:ascii="Arial" w:hAnsi="Arial" w:cs="Arial"/>
                <w:color w:val="000000"/>
                <w:kern w:val="0"/>
                <w:sz w:val="18"/>
                <w:szCs w:val="18"/>
              </w:rPr>
            </w:pPr>
            <w:r w:rsidRPr="00D448DF">
              <w:rPr>
                <w:rFonts w:ascii="Arial" w:hAnsi="Arial" w:cs="Arial"/>
                <w:color w:val="000000"/>
                <w:kern w:val="0"/>
                <w:sz w:val="18"/>
                <w:szCs w:val="18"/>
              </w:rPr>
              <w:t>100.0</w:t>
            </w:r>
          </w:p>
        </w:tc>
      </w:tr>
      <w:tr w:rsidR="00D448DF" w:rsidRPr="00D448DF" w14:paraId="7DB3A43C"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9AF11C0" w14:textId="77777777" w:rsidR="00D448DF" w:rsidRPr="00D448DF" w:rsidRDefault="00D448DF" w:rsidP="00D448DF">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single" w:sz="16" w:space="0" w:color="000000"/>
              <w:right w:val="single" w:sz="16" w:space="0" w:color="000000"/>
            </w:tcBorders>
            <w:shd w:val="clear" w:color="auto" w:fill="FFFFFF"/>
          </w:tcPr>
          <w:p w14:paraId="7C48EC6E" w14:textId="77777777" w:rsidR="00D448DF" w:rsidRPr="00D448DF" w:rsidRDefault="00D448DF" w:rsidP="00D448DF">
            <w:pPr>
              <w:autoSpaceDE w:val="0"/>
              <w:autoSpaceDN w:val="0"/>
              <w:adjustRightInd w:val="0"/>
              <w:spacing w:line="320" w:lineRule="atLeast"/>
              <w:ind w:left="60" w:right="60"/>
              <w:jc w:val="left"/>
              <w:rPr>
                <w:rFonts w:ascii="Arial" w:hAnsi="Arial" w:cs="Arial"/>
                <w:color w:val="000000"/>
                <w:kern w:val="0"/>
                <w:sz w:val="18"/>
                <w:szCs w:val="18"/>
              </w:rPr>
            </w:pPr>
            <w:r w:rsidRPr="00D448DF">
              <w:rPr>
                <w:rFonts w:ascii="Arial" w:hAnsi="Arial" w:cs="Arial"/>
                <w:color w:val="000000"/>
                <w:kern w:val="0"/>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14A33791" w14:textId="77777777" w:rsidR="00D448DF" w:rsidRPr="00D448DF" w:rsidRDefault="00D448DF" w:rsidP="00D448DF">
            <w:pPr>
              <w:autoSpaceDE w:val="0"/>
              <w:autoSpaceDN w:val="0"/>
              <w:adjustRightInd w:val="0"/>
              <w:spacing w:line="320" w:lineRule="atLeast"/>
              <w:ind w:left="60" w:right="60"/>
              <w:jc w:val="right"/>
              <w:rPr>
                <w:rFonts w:ascii="Arial" w:hAnsi="Arial" w:cs="Arial"/>
                <w:color w:val="000000"/>
                <w:kern w:val="0"/>
                <w:sz w:val="18"/>
                <w:szCs w:val="18"/>
              </w:rPr>
            </w:pPr>
            <w:r w:rsidRPr="00D448DF">
              <w:rPr>
                <w:rFonts w:ascii="Arial" w:hAnsi="Arial" w:cs="Arial"/>
                <w:color w:val="000000"/>
                <w:kern w:val="0"/>
                <w:sz w:val="18"/>
                <w:szCs w:val="18"/>
              </w:rPr>
              <w:t>100</w:t>
            </w:r>
          </w:p>
        </w:tc>
        <w:tc>
          <w:tcPr>
            <w:tcW w:w="1029" w:type="dxa"/>
            <w:tcBorders>
              <w:top w:val="nil"/>
              <w:bottom w:val="single" w:sz="16" w:space="0" w:color="000000"/>
            </w:tcBorders>
            <w:shd w:val="clear" w:color="auto" w:fill="FFFFFF"/>
            <w:vAlign w:val="center"/>
          </w:tcPr>
          <w:p w14:paraId="5497760A" w14:textId="77777777" w:rsidR="00D448DF" w:rsidRPr="00D448DF" w:rsidRDefault="00D448DF" w:rsidP="00D448DF">
            <w:pPr>
              <w:autoSpaceDE w:val="0"/>
              <w:autoSpaceDN w:val="0"/>
              <w:adjustRightInd w:val="0"/>
              <w:spacing w:line="320" w:lineRule="atLeast"/>
              <w:ind w:left="60" w:right="60"/>
              <w:jc w:val="right"/>
              <w:rPr>
                <w:rFonts w:ascii="Arial" w:hAnsi="Arial" w:cs="Arial"/>
                <w:color w:val="000000"/>
                <w:kern w:val="0"/>
                <w:sz w:val="18"/>
                <w:szCs w:val="18"/>
              </w:rPr>
            </w:pPr>
            <w:r w:rsidRPr="00D448DF">
              <w:rPr>
                <w:rFonts w:ascii="Arial" w:hAnsi="Arial" w:cs="Arial"/>
                <w:color w:val="000000"/>
                <w:kern w:val="0"/>
                <w:sz w:val="18"/>
                <w:szCs w:val="18"/>
              </w:rPr>
              <w:t>100.0</w:t>
            </w:r>
          </w:p>
        </w:tc>
        <w:tc>
          <w:tcPr>
            <w:tcW w:w="1398" w:type="dxa"/>
            <w:tcBorders>
              <w:top w:val="nil"/>
              <w:bottom w:val="single" w:sz="16" w:space="0" w:color="000000"/>
            </w:tcBorders>
            <w:shd w:val="clear" w:color="auto" w:fill="FFFFFF"/>
            <w:vAlign w:val="center"/>
          </w:tcPr>
          <w:p w14:paraId="51983898" w14:textId="77777777" w:rsidR="00D448DF" w:rsidRPr="00D448DF" w:rsidRDefault="00D448DF" w:rsidP="00D448DF">
            <w:pPr>
              <w:autoSpaceDE w:val="0"/>
              <w:autoSpaceDN w:val="0"/>
              <w:adjustRightInd w:val="0"/>
              <w:spacing w:line="320" w:lineRule="atLeast"/>
              <w:ind w:left="60" w:right="60"/>
              <w:jc w:val="right"/>
              <w:rPr>
                <w:rFonts w:ascii="Arial" w:hAnsi="Arial" w:cs="Arial"/>
                <w:color w:val="000000"/>
                <w:kern w:val="0"/>
                <w:sz w:val="18"/>
                <w:szCs w:val="18"/>
              </w:rPr>
            </w:pPr>
            <w:r w:rsidRPr="00D448DF">
              <w:rPr>
                <w:rFonts w:ascii="Arial" w:hAnsi="Arial" w:cs="Arial"/>
                <w:color w:val="000000"/>
                <w:kern w:val="0"/>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57C00CB0" w14:textId="77777777" w:rsidR="00D448DF" w:rsidRPr="00D448DF" w:rsidRDefault="00D448DF" w:rsidP="00D448DF">
            <w:pPr>
              <w:autoSpaceDE w:val="0"/>
              <w:autoSpaceDN w:val="0"/>
              <w:adjustRightInd w:val="0"/>
              <w:spacing w:line="240" w:lineRule="auto"/>
              <w:jc w:val="left"/>
              <w:rPr>
                <w:rFonts w:ascii="Times New Roman" w:hAnsi="Times New Roman" w:cs="Times New Roman"/>
                <w:kern w:val="0"/>
                <w:sz w:val="24"/>
                <w:szCs w:val="24"/>
              </w:rPr>
            </w:pPr>
          </w:p>
        </w:tc>
      </w:tr>
    </w:tbl>
    <w:p w14:paraId="6C3A13A1" w14:textId="77777777" w:rsidR="00883073" w:rsidRDefault="00883073" w:rsidP="00883073">
      <w:pPr>
        <w:autoSpaceDE w:val="0"/>
        <w:autoSpaceDN w:val="0"/>
        <w:adjustRightInd w:val="0"/>
        <w:spacing w:line="240" w:lineRule="auto"/>
        <w:jc w:val="left"/>
        <w:rPr>
          <w:rFonts w:ascii="Times New Roman" w:hAnsi="Times New Roman" w:cs="Times New Roman"/>
          <w:kern w:val="0"/>
          <w:sz w:val="24"/>
          <w:szCs w:val="24"/>
        </w:rPr>
      </w:pPr>
    </w:p>
    <w:p w14:paraId="22850314" w14:textId="77777777" w:rsidR="00470361" w:rsidRDefault="00470361" w:rsidP="00883073">
      <w:pPr>
        <w:autoSpaceDE w:val="0"/>
        <w:autoSpaceDN w:val="0"/>
        <w:adjustRightInd w:val="0"/>
        <w:spacing w:line="240" w:lineRule="auto"/>
        <w:jc w:val="left"/>
        <w:rPr>
          <w:rFonts w:ascii="Times New Roman" w:hAnsi="Times New Roman" w:cs="Times New Roman"/>
          <w:kern w:val="0"/>
          <w:sz w:val="24"/>
          <w:szCs w:val="24"/>
        </w:rPr>
      </w:pPr>
    </w:p>
    <w:p w14:paraId="51819D95" w14:textId="77777777" w:rsidR="00470361" w:rsidRDefault="00470361" w:rsidP="00883073">
      <w:pPr>
        <w:autoSpaceDE w:val="0"/>
        <w:autoSpaceDN w:val="0"/>
        <w:adjustRightInd w:val="0"/>
        <w:spacing w:line="240" w:lineRule="auto"/>
        <w:jc w:val="left"/>
        <w:rPr>
          <w:rFonts w:ascii="Times New Roman" w:hAnsi="Times New Roman" w:cs="Times New Roman"/>
          <w:kern w:val="0"/>
          <w:sz w:val="24"/>
          <w:szCs w:val="24"/>
        </w:rPr>
      </w:pPr>
    </w:p>
    <w:p w14:paraId="51D91550" w14:textId="77777777" w:rsidR="006E0DBC" w:rsidRDefault="006E0DBC" w:rsidP="00883073">
      <w:pPr>
        <w:autoSpaceDE w:val="0"/>
        <w:autoSpaceDN w:val="0"/>
        <w:adjustRightInd w:val="0"/>
        <w:spacing w:line="240" w:lineRule="auto"/>
        <w:jc w:val="left"/>
        <w:rPr>
          <w:rFonts w:ascii="Times New Roman" w:hAnsi="Times New Roman" w:cs="Times New Roman"/>
          <w:kern w:val="0"/>
          <w:sz w:val="24"/>
          <w:szCs w:val="24"/>
        </w:rPr>
      </w:pPr>
    </w:p>
    <w:p w14:paraId="38C8753C" w14:textId="77777777" w:rsidR="00D27798" w:rsidRPr="00D27798" w:rsidRDefault="00D27798" w:rsidP="00C80FB1">
      <w:pPr>
        <w:autoSpaceDE w:val="0"/>
        <w:autoSpaceDN w:val="0"/>
        <w:adjustRightInd w:val="0"/>
        <w:jc w:val="left"/>
        <w:rPr>
          <w:rFonts w:ascii="Times New Roman" w:hAnsi="Times New Roman" w:cs="Times New Roman"/>
          <w:kern w:val="0"/>
          <w:sz w:val="24"/>
          <w:szCs w:val="24"/>
        </w:rPr>
      </w:pPr>
      <w:r w:rsidRPr="00D27798">
        <w:rPr>
          <w:rFonts w:ascii="Times New Roman" w:hAnsi="Times New Roman" w:cs="Times New Roman"/>
          <w:kern w:val="0"/>
          <w:sz w:val="24"/>
          <w:szCs w:val="24"/>
        </w:rPr>
        <w:t>This table shows us how many social workers in the study (100 people total) actually use gender-sensitive methods when helping their clients. Gender-sensitive approaches mean things like changing how they talk to clients based on their gender experiences or making sure resources like help or information are shared fairly considering gender needs.</w:t>
      </w:r>
    </w:p>
    <w:p w14:paraId="7D466033" w14:textId="7880671C" w:rsidR="00D27798" w:rsidRPr="00D27798" w:rsidRDefault="00D27798" w:rsidP="00C80FB1">
      <w:pPr>
        <w:autoSpaceDE w:val="0"/>
        <w:autoSpaceDN w:val="0"/>
        <w:adjustRightInd w:val="0"/>
        <w:jc w:val="left"/>
        <w:rPr>
          <w:rFonts w:ascii="Times New Roman" w:hAnsi="Times New Roman" w:cs="Times New Roman"/>
          <w:kern w:val="0"/>
          <w:sz w:val="24"/>
          <w:szCs w:val="24"/>
        </w:rPr>
      </w:pPr>
      <w:r w:rsidRPr="00D27798">
        <w:rPr>
          <w:rFonts w:ascii="Times New Roman" w:hAnsi="Times New Roman" w:cs="Times New Roman"/>
          <w:kern w:val="0"/>
          <w:sz w:val="24"/>
          <w:szCs w:val="24"/>
        </w:rPr>
        <w:t xml:space="preserve">The main finding is that most social workers in this group (86 out of 100, or 86%) said "Yes," they do actively use these gender-sensitive </w:t>
      </w:r>
      <w:proofErr w:type="spellStart"/>
      <w:proofErr w:type="gramStart"/>
      <w:r w:rsidRPr="00D27798">
        <w:rPr>
          <w:rFonts w:ascii="Times New Roman" w:hAnsi="Times New Roman" w:cs="Times New Roman"/>
          <w:kern w:val="0"/>
          <w:sz w:val="24"/>
          <w:szCs w:val="24"/>
        </w:rPr>
        <w:t>approaches.This</w:t>
      </w:r>
      <w:proofErr w:type="spellEnd"/>
      <w:proofErr w:type="gramEnd"/>
      <w:r w:rsidRPr="00D27798">
        <w:rPr>
          <w:rFonts w:ascii="Times New Roman" w:hAnsi="Times New Roman" w:cs="Times New Roman"/>
          <w:kern w:val="0"/>
          <w:sz w:val="24"/>
          <w:szCs w:val="24"/>
        </w:rPr>
        <w:t xml:space="preserve"> is a positive sign. It means the vast majority of these practitioners report trying to put their understanding of gender issues (which almost all had, as shown in Table 6) and any training they received (which 75% had, as shown in Table 7) into action when working directly with people.</w:t>
      </w:r>
    </w:p>
    <w:p w14:paraId="0FE589D4" w14:textId="7B4ED7FD" w:rsidR="00D27798" w:rsidRPr="00D27798" w:rsidRDefault="00D27798" w:rsidP="00C80FB1">
      <w:pPr>
        <w:autoSpaceDE w:val="0"/>
        <w:autoSpaceDN w:val="0"/>
        <w:adjustRightInd w:val="0"/>
        <w:jc w:val="left"/>
        <w:rPr>
          <w:rFonts w:ascii="Times New Roman" w:hAnsi="Times New Roman" w:cs="Times New Roman"/>
          <w:kern w:val="0"/>
          <w:sz w:val="24"/>
          <w:szCs w:val="24"/>
        </w:rPr>
      </w:pPr>
      <w:r w:rsidRPr="00D27798">
        <w:rPr>
          <w:rFonts w:ascii="Times New Roman" w:hAnsi="Times New Roman" w:cs="Times New Roman"/>
          <w:kern w:val="0"/>
          <w:sz w:val="24"/>
          <w:szCs w:val="24"/>
        </w:rPr>
        <w:t xml:space="preserve">However, a smaller but still important group (14 out of 100, or 14%) said "No," they do not actively use these </w:t>
      </w:r>
      <w:proofErr w:type="spellStart"/>
      <w:r w:rsidRPr="00D27798">
        <w:rPr>
          <w:rFonts w:ascii="Times New Roman" w:hAnsi="Times New Roman" w:cs="Times New Roman"/>
          <w:kern w:val="0"/>
          <w:sz w:val="24"/>
          <w:szCs w:val="24"/>
        </w:rPr>
        <w:t>approaches.This</w:t>
      </w:r>
      <w:proofErr w:type="spellEnd"/>
      <w:r w:rsidRPr="00D27798">
        <w:rPr>
          <w:rFonts w:ascii="Times New Roman" w:hAnsi="Times New Roman" w:cs="Times New Roman"/>
          <w:kern w:val="0"/>
          <w:sz w:val="24"/>
          <w:szCs w:val="24"/>
        </w:rPr>
        <w:t xml:space="preserve"> tells us that even though awareness of gender challenges is very high (98%), and many have had training (75%), not everyone</w:t>
      </w:r>
      <w:r w:rsidR="0039715B">
        <w:rPr>
          <w:rFonts w:ascii="Times New Roman" w:hAnsi="Times New Roman" w:cs="Times New Roman"/>
          <w:kern w:val="0"/>
          <w:sz w:val="24"/>
          <w:szCs w:val="24"/>
        </w:rPr>
        <w:t xml:space="preserve"> </w:t>
      </w:r>
      <w:r w:rsidRPr="00D27798">
        <w:rPr>
          <w:rFonts w:ascii="Times New Roman" w:hAnsi="Times New Roman" w:cs="Times New Roman"/>
          <w:kern w:val="0"/>
          <w:sz w:val="24"/>
          <w:szCs w:val="24"/>
        </w:rPr>
        <w:t xml:space="preserve"> is translating this knowledge and training into their everyday work with clients. For about 1 in 7 clients, their social worker might not be actively adjusting communication or resources specifically because of their gender identity or experiences.</w:t>
      </w:r>
    </w:p>
    <w:p w14:paraId="73E542E2" w14:textId="52E2E771" w:rsidR="00D27798" w:rsidRPr="00D27798" w:rsidRDefault="00D27798" w:rsidP="00C80FB1">
      <w:pPr>
        <w:autoSpaceDE w:val="0"/>
        <w:autoSpaceDN w:val="0"/>
        <w:adjustRightInd w:val="0"/>
        <w:jc w:val="left"/>
        <w:rPr>
          <w:rFonts w:ascii="Times New Roman" w:hAnsi="Times New Roman" w:cs="Times New Roman"/>
          <w:kern w:val="0"/>
          <w:sz w:val="24"/>
          <w:szCs w:val="24"/>
        </w:rPr>
      </w:pPr>
      <w:r w:rsidRPr="00D27798">
        <w:rPr>
          <w:rFonts w:ascii="Times New Roman" w:hAnsi="Times New Roman" w:cs="Times New Roman"/>
          <w:kern w:val="0"/>
          <w:sz w:val="24"/>
          <w:szCs w:val="24"/>
        </w:rPr>
        <w:lastRenderedPageBreak/>
        <w:t>A few important things to remember about this finding:</w:t>
      </w:r>
      <w:r w:rsidRPr="00D27798">
        <w:rPr>
          <w:rFonts w:ascii="Times New Roman" w:hAnsi="Times New Roman" w:cs="Times New Roman"/>
          <w:kern w:val="0"/>
          <w:sz w:val="24"/>
          <w:szCs w:val="24"/>
        </w:rPr>
        <w:br/>
        <w:t>1.  "Actively Use" is Self-Reported: The table tells us what people say</w:t>
      </w:r>
      <w:r w:rsidR="0039715B">
        <w:rPr>
          <w:rFonts w:ascii="Times New Roman" w:hAnsi="Times New Roman" w:cs="Times New Roman"/>
          <w:kern w:val="0"/>
          <w:sz w:val="24"/>
          <w:szCs w:val="24"/>
        </w:rPr>
        <w:t xml:space="preserve"> </w:t>
      </w:r>
      <w:r w:rsidRPr="00D27798">
        <w:rPr>
          <w:rFonts w:ascii="Times New Roman" w:hAnsi="Times New Roman" w:cs="Times New Roman"/>
          <w:kern w:val="0"/>
          <w:sz w:val="24"/>
          <w:szCs w:val="24"/>
        </w:rPr>
        <w:t>they do. We don't know exactly how</w:t>
      </w:r>
      <w:r w:rsidR="0039715B">
        <w:rPr>
          <w:rFonts w:ascii="Times New Roman" w:hAnsi="Times New Roman" w:cs="Times New Roman"/>
          <w:kern w:val="0"/>
          <w:sz w:val="24"/>
          <w:szCs w:val="24"/>
        </w:rPr>
        <w:t xml:space="preserve"> </w:t>
      </w:r>
      <w:r w:rsidRPr="00D27798">
        <w:rPr>
          <w:rFonts w:ascii="Times New Roman" w:hAnsi="Times New Roman" w:cs="Times New Roman"/>
          <w:kern w:val="0"/>
          <w:sz w:val="24"/>
          <w:szCs w:val="24"/>
        </w:rPr>
        <w:t>they use these approaches, how well</w:t>
      </w:r>
      <w:r w:rsidR="0039715B">
        <w:rPr>
          <w:rFonts w:ascii="Times New Roman" w:hAnsi="Times New Roman" w:cs="Times New Roman"/>
          <w:kern w:val="0"/>
          <w:sz w:val="24"/>
          <w:szCs w:val="24"/>
        </w:rPr>
        <w:t xml:space="preserve"> </w:t>
      </w:r>
      <w:r w:rsidRPr="00D27798">
        <w:rPr>
          <w:rFonts w:ascii="Times New Roman" w:hAnsi="Times New Roman" w:cs="Times New Roman"/>
          <w:kern w:val="0"/>
          <w:sz w:val="24"/>
          <w:szCs w:val="24"/>
        </w:rPr>
        <w:t xml:space="preserve"> they use them, or how often</w:t>
      </w:r>
      <w:r w:rsidR="003F6D65">
        <w:rPr>
          <w:rFonts w:ascii="Times New Roman" w:hAnsi="Times New Roman" w:cs="Times New Roman"/>
          <w:kern w:val="0"/>
          <w:sz w:val="24"/>
          <w:szCs w:val="24"/>
        </w:rPr>
        <w:t xml:space="preserve"> </w:t>
      </w:r>
      <w:r w:rsidRPr="00D27798">
        <w:rPr>
          <w:rFonts w:ascii="Times New Roman" w:hAnsi="Times New Roman" w:cs="Times New Roman"/>
          <w:kern w:val="0"/>
          <w:sz w:val="24"/>
          <w:szCs w:val="24"/>
        </w:rPr>
        <w:t>they use them. Someone might say "yes" meaning they do it sometimes, but maybe not consistently or deeply.</w:t>
      </w:r>
      <w:r w:rsidRPr="00D27798">
        <w:rPr>
          <w:rFonts w:ascii="Times New Roman" w:hAnsi="Times New Roman" w:cs="Times New Roman"/>
          <w:kern w:val="0"/>
          <w:sz w:val="24"/>
          <w:szCs w:val="24"/>
        </w:rPr>
        <w:br/>
        <w:t>2.  Contrast with Awareness and Training: It's interesting to compare this to the earlier tables. Almost everyone (98%) knows about gender problems like pay gaps or violence. Many (75%) have had training on how to address inequality. But this table shows that doing</w:t>
      </w:r>
      <w:r w:rsidR="0010121F">
        <w:rPr>
          <w:rFonts w:ascii="Times New Roman" w:hAnsi="Times New Roman" w:cs="Times New Roman"/>
          <w:kern w:val="0"/>
          <w:sz w:val="24"/>
          <w:szCs w:val="24"/>
        </w:rPr>
        <w:t xml:space="preserve"> </w:t>
      </w:r>
      <w:r w:rsidRPr="00D27798">
        <w:rPr>
          <w:rFonts w:ascii="Times New Roman" w:hAnsi="Times New Roman" w:cs="Times New Roman"/>
          <w:kern w:val="0"/>
          <w:sz w:val="24"/>
          <w:szCs w:val="24"/>
        </w:rPr>
        <w:t>it in practice isn't quite at 100% – 14% report not actively using these methods. This suggests a gap between knowing/training and doing for some.</w:t>
      </w:r>
      <w:r w:rsidRPr="00D27798">
        <w:rPr>
          <w:rFonts w:ascii="Times New Roman" w:hAnsi="Times New Roman" w:cs="Times New Roman"/>
          <w:kern w:val="0"/>
          <w:sz w:val="24"/>
          <w:szCs w:val="24"/>
        </w:rPr>
        <w:br/>
        <w:t>3.  The "No" Group Matters:</w:t>
      </w:r>
      <w:r w:rsidR="0010121F">
        <w:rPr>
          <w:rFonts w:ascii="Times New Roman" w:hAnsi="Times New Roman" w:cs="Times New Roman"/>
          <w:kern w:val="0"/>
          <w:sz w:val="24"/>
          <w:szCs w:val="24"/>
        </w:rPr>
        <w:t xml:space="preserve"> </w:t>
      </w:r>
      <w:r w:rsidRPr="00D27798">
        <w:rPr>
          <w:rFonts w:ascii="Times New Roman" w:hAnsi="Times New Roman" w:cs="Times New Roman"/>
          <w:kern w:val="0"/>
          <w:sz w:val="24"/>
          <w:szCs w:val="24"/>
        </w:rPr>
        <w:t xml:space="preserve">While 86% is high, 14% is not a tiny number. It represents practitioners who, for whatever reason, aren't actively employing these tailored methods. This could be because they lack confidence even with training, face barriers in their workplace, don't fully </w:t>
      </w:r>
      <w:proofErr w:type="gramStart"/>
      <w:r w:rsidRPr="00D27798">
        <w:rPr>
          <w:rFonts w:ascii="Times New Roman" w:hAnsi="Times New Roman" w:cs="Times New Roman"/>
          <w:kern w:val="0"/>
          <w:sz w:val="24"/>
          <w:szCs w:val="24"/>
        </w:rPr>
        <w:t xml:space="preserve">understand </w:t>
      </w:r>
      <w:r w:rsidR="0010121F">
        <w:rPr>
          <w:rFonts w:ascii="Times New Roman" w:hAnsi="Times New Roman" w:cs="Times New Roman"/>
          <w:kern w:val="0"/>
          <w:sz w:val="24"/>
          <w:szCs w:val="24"/>
        </w:rPr>
        <w:t xml:space="preserve"> </w:t>
      </w:r>
      <w:r w:rsidRPr="00D27798">
        <w:rPr>
          <w:rFonts w:ascii="Times New Roman" w:hAnsi="Times New Roman" w:cs="Times New Roman"/>
          <w:kern w:val="0"/>
          <w:sz w:val="24"/>
          <w:szCs w:val="24"/>
        </w:rPr>
        <w:t>how</w:t>
      </w:r>
      <w:proofErr w:type="gramEnd"/>
      <w:r w:rsidR="0010121F">
        <w:rPr>
          <w:rFonts w:ascii="Times New Roman" w:hAnsi="Times New Roman" w:cs="Times New Roman"/>
          <w:kern w:val="0"/>
          <w:sz w:val="24"/>
          <w:szCs w:val="24"/>
        </w:rPr>
        <w:t xml:space="preserve"> </w:t>
      </w:r>
      <w:r w:rsidRPr="00D27798">
        <w:rPr>
          <w:rFonts w:ascii="Times New Roman" w:hAnsi="Times New Roman" w:cs="Times New Roman"/>
          <w:kern w:val="0"/>
          <w:sz w:val="24"/>
          <w:szCs w:val="24"/>
        </w:rPr>
        <w:t xml:space="preserve"> to apply the approaches, or hold personal beliefs that make them reluctant. Understanding why</w:t>
      </w:r>
      <w:r w:rsidR="0010121F">
        <w:rPr>
          <w:rFonts w:ascii="Times New Roman" w:hAnsi="Times New Roman" w:cs="Times New Roman"/>
          <w:kern w:val="0"/>
          <w:sz w:val="24"/>
          <w:szCs w:val="24"/>
        </w:rPr>
        <w:t xml:space="preserve"> </w:t>
      </w:r>
      <w:r w:rsidRPr="00D27798">
        <w:rPr>
          <w:rFonts w:ascii="Times New Roman" w:hAnsi="Times New Roman" w:cs="Times New Roman"/>
          <w:kern w:val="0"/>
          <w:sz w:val="24"/>
          <w:szCs w:val="24"/>
        </w:rPr>
        <w:t>this 14% isn't using these approaches would be important next step.</w:t>
      </w:r>
    </w:p>
    <w:p w14:paraId="47366EA8" w14:textId="50454E27" w:rsidR="00BE21FE" w:rsidRDefault="00D27798" w:rsidP="00C80FB1">
      <w:pPr>
        <w:autoSpaceDE w:val="0"/>
        <w:autoSpaceDN w:val="0"/>
        <w:adjustRightInd w:val="0"/>
        <w:jc w:val="left"/>
        <w:rPr>
          <w:rFonts w:ascii="Times New Roman" w:hAnsi="Times New Roman" w:cs="Times New Roman"/>
          <w:kern w:val="0"/>
          <w:sz w:val="24"/>
          <w:szCs w:val="24"/>
        </w:rPr>
      </w:pPr>
      <w:r w:rsidRPr="00D27798">
        <w:rPr>
          <w:rFonts w:ascii="Times New Roman" w:hAnsi="Times New Roman" w:cs="Times New Roman"/>
          <w:noProof/>
          <w:kern w:val="0"/>
          <w:sz w:val="24"/>
          <w:szCs w:val="24"/>
        </w:rPr>
        <w:drawing>
          <wp:inline distT="0" distB="0" distL="0" distR="0" wp14:anchorId="14DE8CB3" wp14:editId="6CAEB845">
            <wp:extent cx="6350" cy="6350"/>
            <wp:effectExtent l="0" t="0" r="0" b="0"/>
            <wp:docPr id="97524336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p w14:paraId="4705D1FF" w14:textId="77777777" w:rsidR="00BE21FE" w:rsidRDefault="00BE21FE" w:rsidP="00C80FB1">
      <w:pPr>
        <w:autoSpaceDE w:val="0"/>
        <w:autoSpaceDN w:val="0"/>
        <w:adjustRightInd w:val="0"/>
        <w:jc w:val="left"/>
        <w:rPr>
          <w:rFonts w:ascii="Times New Roman" w:hAnsi="Times New Roman" w:cs="Times New Roman"/>
          <w:kern w:val="0"/>
          <w:sz w:val="24"/>
          <w:szCs w:val="24"/>
        </w:rPr>
      </w:pPr>
    </w:p>
    <w:p w14:paraId="2725561D" w14:textId="77777777" w:rsidR="0010121F" w:rsidRDefault="0010121F" w:rsidP="00C80FB1">
      <w:pPr>
        <w:autoSpaceDE w:val="0"/>
        <w:autoSpaceDN w:val="0"/>
        <w:adjustRightInd w:val="0"/>
        <w:jc w:val="left"/>
        <w:rPr>
          <w:rFonts w:ascii="Times New Roman" w:hAnsi="Times New Roman" w:cs="Times New Roman"/>
          <w:kern w:val="0"/>
          <w:sz w:val="24"/>
          <w:szCs w:val="24"/>
        </w:rPr>
      </w:pPr>
    </w:p>
    <w:p w14:paraId="76EBCAB3" w14:textId="77777777" w:rsidR="001A426A" w:rsidRPr="00883073" w:rsidRDefault="001A426A" w:rsidP="00C80FB1">
      <w:pPr>
        <w:autoSpaceDE w:val="0"/>
        <w:autoSpaceDN w:val="0"/>
        <w:adjustRightInd w:val="0"/>
        <w:jc w:val="left"/>
        <w:rPr>
          <w:rFonts w:ascii="Times New Roman" w:hAnsi="Times New Roman" w:cs="Times New Roman"/>
          <w:kern w:val="0"/>
          <w:sz w:val="24"/>
          <w:szCs w:val="24"/>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883073" w:rsidRPr="00883073" w14:paraId="7D0A50D3" w14:textId="77777777">
        <w:trPr>
          <w:cantSplit/>
        </w:trPr>
        <w:tc>
          <w:tcPr>
            <w:tcW w:w="6544" w:type="dxa"/>
            <w:gridSpan w:val="6"/>
            <w:tcBorders>
              <w:top w:val="nil"/>
              <w:left w:val="nil"/>
              <w:bottom w:val="nil"/>
              <w:right w:val="nil"/>
            </w:tcBorders>
            <w:shd w:val="clear" w:color="auto" w:fill="FFFFFF"/>
            <w:vAlign w:val="center"/>
          </w:tcPr>
          <w:p w14:paraId="0B0FED2B" w14:textId="77777777" w:rsidR="00883073" w:rsidRPr="00883073" w:rsidRDefault="00883073" w:rsidP="00C80FB1">
            <w:pPr>
              <w:autoSpaceDE w:val="0"/>
              <w:autoSpaceDN w:val="0"/>
              <w:adjustRightInd w:val="0"/>
              <w:ind w:left="60" w:right="60"/>
              <w:jc w:val="center"/>
              <w:rPr>
                <w:rFonts w:ascii="Arial" w:hAnsi="Arial" w:cs="Arial"/>
                <w:color w:val="000000"/>
                <w:kern w:val="0"/>
                <w:sz w:val="18"/>
                <w:szCs w:val="18"/>
              </w:rPr>
            </w:pPr>
            <w:r w:rsidRPr="00883073">
              <w:rPr>
                <w:rFonts w:ascii="Arial" w:hAnsi="Arial" w:cs="Arial"/>
                <w:b/>
                <w:bCs/>
                <w:color w:val="000000"/>
                <w:kern w:val="0"/>
                <w:sz w:val="18"/>
                <w:szCs w:val="18"/>
              </w:rPr>
              <w:t>9. Do you believe that social workers have a responsibility to challenge gender stereotypes and biases in their interventions?</w:t>
            </w:r>
          </w:p>
        </w:tc>
      </w:tr>
      <w:tr w:rsidR="00883073" w:rsidRPr="00883073" w14:paraId="15880F4E" w14:textId="77777777">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0FCBB66D" w14:textId="77777777" w:rsidR="00883073" w:rsidRPr="00883073" w:rsidRDefault="00883073" w:rsidP="00C80FB1">
            <w:pPr>
              <w:autoSpaceDE w:val="0"/>
              <w:autoSpaceDN w:val="0"/>
              <w:adjustRightInd w:val="0"/>
              <w:jc w:val="left"/>
              <w:rPr>
                <w:rFonts w:ascii="Times New Roman" w:hAnsi="Times New Roman" w:cs="Times New Roman"/>
                <w:kern w:val="0"/>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14:paraId="15222C2C" w14:textId="77777777" w:rsidR="00883073" w:rsidRPr="00883073" w:rsidRDefault="00883073" w:rsidP="00C80FB1">
            <w:pPr>
              <w:autoSpaceDE w:val="0"/>
              <w:autoSpaceDN w:val="0"/>
              <w:adjustRightInd w:val="0"/>
              <w:ind w:left="60" w:right="60"/>
              <w:jc w:val="center"/>
              <w:rPr>
                <w:rFonts w:ascii="Arial" w:hAnsi="Arial" w:cs="Arial"/>
                <w:color w:val="000000"/>
                <w:kern w:val="0"/>
                <w:sz w:val="18"/>
                <w:szCs w:val="18"/>
              </w:rPr>
            </w:pPr>
            <w:r w:rsidRPr="00883073">
              <w:rPr>
                <w:rFonts w:ascii="Arial" w:hAnsi="Arial" w:cs="Arial"/>
                <w:color w:val="000000"/>
                <w:kern w:val="0"/>
                <w:sz w:val="18"/>
                <w:szCs w:val="18"/>
              </w:rPr>
              <w:t>Frequency</w:t>
            </w:r>
          </w:p>
        </w:tc>
        <w:tc>
          <w:tcPr>
            <w:tcW w:w="1029" w:type="dxa"/>
            <w:tcBorders>
              <w:top w:val="single" w:sz="16" w:space="0" w:color="000000"/>
              <w:bottom w:val="single" w:sz="16" w:space="0" w:color="000000"/>
            </w:tcBorders>
            <w:shd w:val="clear" w:color="auto" w:fill="FFFFFF"/>
            <w:vAlign w:val="bottom"/>
          </w:tcPr>
          <w:p w14:paraId="5B054CC7" w14:textId="77777777" w:rsidR="00883073" w:rsidRPr="00883073" w:rsidRDefault="00883073" w:rsidP="00C80FB1">
            <w:pPr>
              <w:autoSpaceDE w:val="0"/>
              <w:autoSpaceDN w:val="0"/>
              <w:adjustRightInd w:val="0"/>
              <w:ind w:left="60" w:right="60"/>
              <w:jc w:val="center"/>
              <w:rPr>
                <w:rFonts w:ascii="Arial" w:hAnsi="Arial" w:cs="Arial"/>
                <w:color w:val="000000"/>
                <w:kern w:val="0"/>
                <w:sz w:val="18"/>
                <w:szCs w:val="18"/>
              </w:rPr>
            </w:pPr>
            <w:r w:rsidRPr="00883073">
              <w:rPr>
                <w:rFonts w:ascii="Arial" w:hAnsi="Arial" w:cs="Arial"/>
                <w:color w:val="000000"/>
                <w:kern w:val="0"/>
                <w:sz w:val="18"/>
                <w:szCs w:val="18"/>
              </w:rPr>
              <w:t>Percent</w:t>
            </w:r>
          </w:p>
        </w:tc>
        <w:tc>
          <w:tcPr>
            <w:tcW w:w="1398" w:type="dxa"/>
            <w:tcBorders>
              <w:top w:val="single" w:sz="16" w:space="0" w:color="000000"/>
              <w:bottom w:val="single" w:sz="16" w:space="0" w:color="000000"/>
            </w:tcBorders>
            <w:shd w:val="clear" w:color="auto" w:fill="FFFFFF"/>
            <w:vAlign w:val="bottom"/>
          </w:tcPr>
          <w:p w14:paraId="755F625B" w14:textId="77777777" w:rsidR="00883073" w:rsidRPr="00883073" w:rsidRDefault="00883073" w:rsidP="00C80FB1">
            <w:pPr>
              <w:autoSpaceDE w:val="0"/>
              <w:autoSpaceDN w:val="0"/>
              <w:adjustRightInd w:val="0"/>
              <w:ind w:left="60" w:right="60"/>
              <w:jc w:val="center"/>
              <w:rPr>
                <w:rFonts w:ascii="Arial" w:hAnsi="Arial" w:cs="Arial"/>
                <w:color w:val="000000"/>
                <w:kern w:val="0"/>
                <w:sz w:val="18"/>
                <w:szCs w:val="18"/>
              </w:rPr>
            </w:pPr>
            <w:r w:rsidRPr="00883073">
              <w:rPr>
                <w:rFonts w:ascii="Arial" w:hAnsi="Arial" w:cs="Arial"/>
                <w:color w:val="000000"/>
                <w:kern w:val="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674D24C2" w14:textId="77777777" w:rsidR="00883073" w:rsidRPr="00883073" w:rsidRDefault="00883073" w:rsidP="00C80FB1">
            <w:pPr>
              <w:autoSpaceDE w:val="0"/>
              <w:autoSpaceDN w:val="0"/>
              <w:adjustRightInd w:val="0"/>
              <w:ind w:left="60" w:right="60"/>
              <w:jc w:val="center"/>
              <w:rPr>
                <w:rFonts w:ascii="Arial" w:hAnsi="Arial" w:cs="Arial"/>
                <w:color w:val="000000"/>
                <w:kern w:val="0"/>
                <w:sz w:val="18"/>
                <w:szCs w:val="18"/>
              </w:rPr>
            </w:pPr>
            <w:r w:rsidRPr="00883073">
              <w:rPr>
                <w:rFonts w:ascii="Arial" w:hAnsi="Arial" w:cs="Arial"/>
                <w:color w:val="000000"/>
                <w:kern w:val="0"/>
                <w:sz w:val="18"/>
                <w:szCs w:val="18"/>
              </w:rPr>
              <w:t>Cumulative Percent</w:t>
            </w:r>
          </w:p>
        </w:tc>
      </w:tr>
      <w:tr w:rsidR="00883073" w:rsidRPr="00883073" w14:paraId="5BF04BAB" w14:textId="77777777">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1FBFDB3C" w14:textId="77777777" w:rsidR="00883073" w:rsidRPr="00883073" w:rsidRDefault="00883073" w:rsidP="00C80FB1">
            <w:pPr>
              <w:autoSpaceDE w:val="0"/>
              <w:autoSpaceDN w:val="0"/>
              <w:adjustRightInd w:val="0"/>
              <w:ind w:left="60" w:right="60"/>
              <w:jc w:val="left"/>
              <w:rPr>
                <w:rFonts w:ascii="Arial" w:hAnsi="Arial" w:cs="Arial"/>
                <w:color w:val="000000"/>
                <w:kern w:val="0"/>
                <w:sz w:val="18"/>
                <w:szCs w:val="18"/>
              </w:rPr>
            </w:pPr>
            <w:r w:rsidRPr="00883073">
              <w:rPr>
                <w:rFonts w:ascii="Arial" w:hAnsi="Arial" w:cs="Arial"/>
                <w:color w:val="000000"/>
                <w:kern w:val="0"/>
                <w:sz w:val="18"/>
                <w:szCs w:val="18"/>
              </w:rPr>
              <w:t>Valid</w:t>
            </w:r>
          </w:p>
        </w:tc>
        <w:tc>
          <w:tcPr>
            <w:tcW w:w="737" w:type="dxa"/>
            <w:tcBorders>
              <w:top w:val="single" w:sz="16" w:space="0" w:color="000000"/>
              <w:left w:val="nil"/>
              <w:bottom w:val="nil"/>
              <w:right w:val="single" w:sz="16" w:space="0" w:color="000000"/>
            </w:tcBorders>
            <w:shd w:val="clear" w:color="auto" w:fill="FFFFFF"/>
          </w:tcPr>
          <w:p w14:paraId="1E4A539B" w14:textId="77777777" w:rsidR="00883073" w:rsidRPr="00883073" w:rsidRDefault="00883073" w:rsidP="00C80FB1">
            <w:pPr>
              <w:autoSpaceDE w:val="0"/>
              <w:autoSpaceDN w:val="0"/>
              <w:adjustRightInd w:val="0"/>
              <w:ind w:left="60" w:right="60"/>
              <w:jc w:val="left"/>
              <w:rPr>
                <w:rFonts w:ascii="Arial" w:hAnsi="Arial" w:cs="Arial"/>
                <w:color w:val="000000"/>
                <w:kern w:val="0"/>
                <w:sz w:val="18"/>
                <w:szCs w:val="18"/>
              </w:rPr>
            </w:pPr>
            <w:r w:rsidRPr="00883073">
              <w:rPr>
                <w:rFonts w:ascii="Arial" w:hAnsi="Arial" w:cs="Arial"/>
                <w:color w:val="000000"/>
                <w:kern w:val="0"/>
                <w:sz w:val="18"/>
                <w:szCs w:val="18"/>
              </w:rPr>
              <w:t>No</w:t>
            </w:r>
          </w:p>
        </w:tc>
        <w:tc>
          <w:tcPr>
            <w:tcW w:w="1168" w:type="dxa"/>
            <w:tcBorders>
              <w:top w:val="single" w:sz="16" w:space="0" w:color="000000"/>
              <w:left w:val="single" w:sz="16" w:space="0" w:color="000000"/>
              <w:bottom w:val="nil"/>
            </w:tcBorders>
            <w:shd w:val="clear" w:color="auto" w:fill="FFFFFF"/>
            <w:vAlign w:val="center"/>
          </w:tcPr>
          <w:p w14:paraId="24762DBD" w14:textId="77777777" w:rsidR="00883073" w:rsidRPr="00883073" w:rsidRDefault="00883073" w:rsidP="00C80FB1">
            <w:pPr>
              <w:autoSpaceDE w:val="0"/>
              <w:autoSpaceDN w:val="0"/>
              <w:adjustRightInd w:val="0"/>
              <w:ind w:left="60" w:right="60"/>
              <w:jc w:val="right"/>
              <w:rPr>
                <w:rFonts w:ascii="Arial" w:hAnsi="Arial" w:cs="Arial"/>
                <w:color w:val="000000"/>
                <w:kern w:val="0"/>
                <w:sz w:val="18"/>
                <w:szCs w:val="18"/>
              </w:rPr>
            </w:pPr>
            <w:r w:rsidRPr="00883073">
              <w:rPr>
                <w:rFonts w:ascii="Arial" w:hAnsi="Arial" w:cs="Arial"/>
                <w:color w:val="000000"/>
                <w:kern w:val="0"/>
                <w:sz w:val="18"/>
                <w:szCs w:val="18"/>
              </w:rPr>
              <w:t>3</w:t>
            </w:r>
          </w:p>
        </w:tc>
        <w:tc>
          <w:tcPr>
            <w:tcW w:w="1029" w:type="dxa"/>
            <w:tcBorders>
              <w:top w:val="single" w:sz="16" w:space="0" w:color="000000"/>
              <w:bottom w:val="nil"/>
            </w:tcBorders>
            <w:shd w:val="clear" w:color="auto" w:fill="FFFFFF"/>
            <w:vAlign w:val="center"/>
          </w:tcPr>
          <w:p w14:paraId="64C569A0" w14:textId="77777777" w:rsidR="00883073" w:rsidRPr="00883073" w:rsidRDefault="00883073" w:rsidP="00C80FB1">
            <w:pPr>
              <w:autoSpaceDE w:val="0"/>
              <w:autoSpaceDN w:val="0"/>
              <w:adjustRightInd w:val="0"/>
              <w:ind w:left="60" w:right="60"/>
              <w:jc w:val="right"/>
              <w:rPr>
                <w:rFonts w:ascii="Arial" w:hAnsi="Arial" w:cs="Arial"/>
                <w:color w:val="000000"/>
                <w:kern w:val="0"/>
                <w:sz w:val="18"/>
                <w:szCs w:val="18"/>
              </w:rPr>
            </w:pPr>
            <w:r w:rsidRPr="00883073">
              <w:rPr>
                <w:rFonts w:ascii="Arial" w:hAnsi="Arial" w:cs="Arial"/>
                <w:color w:val="000000"/>
                <w:kern w:val="0"/>
                <w:sz w:val="18"/>
                <w:szCs w:val="18"/>
              </w:rPr>
              <w:t>3.0</w:t>
            </w:r>
          </w:p>
        </w:tc>
        <w:tc>
          <w:tcPr>
            <w:tcW w:w="1398" w:type="dxa"/>
            <w:tcBorders>
              <w:top w:val="single" w:sz="16" w:space="0" w:color="000000"/>
              <w:bottom w:val="nil"/>
            </w:tcBorders>
            <w:shd w:val="clear" w:color="auto" w:fill="FFFFFF"/>
            <w:vAlign w:val="center"/>
          </w:tcPr>
          <w:p w14:paraId="04720149" w14:textId="77777777" w:rsidR="00883073" w:rsidRPr="00883073" w:rsidRDefault="00883073" w:rsidP="00C80FB1">
            <w:pPr>
              <w:autoSpaceDE w:val="0"/>
              <w:autoSpaceDN w:val="0"/>
              <w:adjustRightInd w:val="0"/>
              <w:ind w:left="60" w:right="60"/>
              <w:jc w:val="right"/>
              <w:rPr>
                <w:rFonts w:ascii="Arial" w:hAnsi="Arial" w:cs="Arial"/>
                <w:color w:val="000000"/>
                <w:kern w:val="0"/>
                <w:sz w:val="18"/>
                <w:szCs w:val="18"/>
              </w:rPr>
            </w:pPr>
            <w:r w:rsidRPr="00883073">
              <w:rPr>
                <w:rFonts w:ascii="Arial" w:hAnsi="Arial" w:cs="Arial"/>
                <w:color w:val="000000"/>
                <w:kern w:val="0"/>
                <w:sz w:val="18"/>
                <w:szCs w:val="18"/>
              </w:rPr>
              <w:t>3.0</w:t>
            </w:r>
          </w:p>
        </w:tc>
        <w:tc>
          <w:tcPr>
            <w:tcW w:w="1475" w:type="dxa"/>
            <w:tcBorders>
              <w:top w:val="single" w:sz="16" w:space="0" w:color="000000"/>
              <w:bottom w:val="nil"/>
              <w:right w:val="single" w:sz="16" w:space="0" w:color="000000"/>
            </w:tcBorders>
            <w:shd w:val="clear" w:color="auto" w:fill="FFFFFF"/>
            <w:vAlign w:val="center"/>
          </w:tcPr>
          <w:p w14:paraId="24A7FF0D" w14:textId="77777777" w:rsidR="00883073" w:rsidRPr="00883073" w:rsidRDefault="00883073" w:rsidP="00C80FB1">
            <w:pPr>
              <w:autoSpaceDE w:val="0"/>
              <w:autoSpaceDN w:val="0"/>
              <w:adjustRightInd w:val="0"/>
              <w:ind w:left="60" w:right="60"/>
              <w:jc w:val="right"/>
              <w:rPr>
                <w:rFonts w:ascii="Arial" w:hAnsi="Arial" w:cs="Arial"/>
                <w:color w:val="000000"/>
                <w:kern w:val="0"/>
                <w:sz w:val="18"/>
                <w:szCs w:val="18"/>
              </w:rPr>
            </w:pPr>
            <w:r w:rsidRPr="00883073">
              <w:rPr>
                <w:rFonts w:ascii="Arial" w:hAnsi="Arial" w:cs="Arial"/>
                <w:color w:val="000000"/>
                <w:kern w:val="0"/>
                <w:sz w:val="18"/>
                <w:szCs w:val="18"/>
              </w:rPr>
              <w:t>3.0</w:t>
            </w:r>
          </w:p>
        </w:tc>
      </w:tr>
      <w:tr w:rsidR="00883073" w:rsidRPr="00883073" w14:paraId="7E7A0256"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C93D6EF" w14:textId="77777777" w:rsidR="00883073" w:rsidRPr="00883073" w:rsidRDefault="00883073" w:rsidP="00C80FB1">
            <w:pPr>
              <w:autoSpaceDE w:val="0"/>
              <w:autoSpaceDN w:val="0"/>
              <w:adjustRightInd w:val="0"/>
              <w:jc w:val="left"/>
              <w:rPr>
                <w:rFonts w:ascii="Arial" w:hAnsi="Arial" w:cs="Arial"/>
                <w:color w:val="000000"/>
                <w:kern w:val="0"/>
                <w:sz w:val="18"/>
                <w:szCs w:val="18"/>
              </w:rPr>
            </w:pPr>
          </w:p>
        </w:tc>
        <w:tc>
          <w:tcPr>
            <w:tcW w:w="737" w:type="dxa"/>
            <w:tcBorders>
              <w:top w:val="nil"/>
              <w:left w:val="nil"/>
              <w:bottom w:val="nil"/>
              <w:right w:val="single" w:sz="16" w:space="0" w:color="000000"/>
            </w:tcBorders>
            <w:shd w:val="clear" w:color="auto" w:fill="FFFFFF"/>
          </w:tcPr>
          <w:p w14:paraId="3EA9534F" w14:textId="77777777" w:rsidR="00883073" w:rsidRPr="00883073" w:rsidRDefault="00883073" w:rsidP="00C80FB1">
            <w:pPr>
              <w:autoSpaceDE w:val="0"/>
              <w:autoSpaceDN w:val="0"/>
              <w:adjustRightInd w:val="0"/>
              <w:ind w:left="60" w:right="60"/>
              <w:jc w:val="left"/>
              <w:rPr>
                <w:rFonts w:ascii="Arial" w:hAnsi="Arial" w:cs="Arial"/>
                <w:color w:val="000000"/>
                <w:kern w:val="0"/>
                <w:sz w:val="18"/>
                <w:szCs w:val="18"/>
              </w:rPr>
            </w:pPr>
            <w:r w:rsidRPr="00883073">
              <w:rPr>
                <w:rFonts w:ascii="Arial" w:hAnsi="Arial" w:cs="Arial"/>
                <w:color w:val="000000"/>
                <w:kern w:val="0"/>
                <w:sz w:val="18"/>
                <w:szCs w:val="18"/>
              </w:rPr>
              <w:t>Yes</w:t>
            </w:r>
          </w:p>
        </w:tc>
        <w:tc>
          <w:tcPr>
            <w:tcW w:w="1168" w:type="dxa"/>
            <w:tcBorders>
              <w:top w:val="nil"/>
              <w:left w:val="single" w:sz="16" w:space="0" w:color="000000"/>
              <w:bottom w:val="nil"/>
            </w:tcBorders>
            <w:shd w:val="clear" w:color="auto" w:fill="FFFFFF"/>
            <w:vAlign w:val="center"/>
          </w:tcPr>
          <w:p w14:paraId="00EDD84B" w14:textId="77777777" w:rsidR="00883073" w:rsidRPr="00883073" w:rsidRDefault="00883073" w:rsidP="00C80FB1">
            <w:pPr>
              <w:autoSpaceDE w:val="0"/>
              <w:autoSpaceDN w:val="0"/>
              <w:adjustRightInd w:val="0"/>
              <w:ind w:left="60" w:right="60"/>
              <w:jc w:val="right"/>
              <w:rPr>
                <w:rFonts w:ascii="Arial" w:hAnsi="Arial" w:cs="Arial"/>
                <w:color w:val="000000"/>
                <w:kern w:val="0"/>
                <w:sz w:val="18"/>
                <w:szCs w:val="18"/>
              </w:rPr>
            </w:pPr>
            <w:r w:rsidRPr="00883073">
              <w:rPr>
                <w:rFonts w:ascii="Arial" w:hAnsi="Arial" w:cs="Arial"/>
                <w:color w:val="000000"/>
                <w:kern w:val="0"/>
                <w:sz w:val="18"/>
                <w:szCs w:val="18"/>
              </w:rPr>
              <w:t>97</w:t>
            </w:r>
          </w:p>
        </w:tc>
        <w:tc>
          <w:tcPr>
            <w:tcW w:w="1029" w:type="dxa"/>
            <w:tcBorders>
              <w:top w:val="nil"/>
              <w:bottom w:val="nil"/>
            </w:tcBorders>
            <w:shd w:val="clear" w:color="auto" w:fill="FFFFFF"/>
            <w:vAlign w:val="center"/>
          </w:tcPr>
          <w:p w14:paraId="3F8F5983" w14:textId="77777777" w:rsidR="00883073" w:rsidRPr="00883073" w:rsidRDefault="00883073" w:rsidP="00C80FB1">
            <w:pPr>
              <w:autoSpaceDE w:val="0"/>
              <w:autoSpaceDN w:val="0"/>
              <w:adjustRightInd w:val="0"/>
              <w:ind w:left="60" w:right="60"/>
              <w:jc w:val="right"/>
              <w:rPr>
                <w:rFonts w:ascii="Arial" w:hAnsi="Arial" w:cs="Arial"/>
                <w:color w:val="000000"/>
                <w:kern w:val="0"/>
                <w:sz w:val="18"/>
                <w:szCs w:val="18"/>
              </w:rPr>
            </w:pPr>
            <w:r w:rsidRPr="00883073">
              <w:rPr>
                <w:rFonts w:ascii="Arial" w:hAnsi="Arial" w:cs="Arial"/>
                <w:color w:val="000000"/>
                <w:kern w:val="0"/>
                <w:sz w:val="18"/>
                <w:szCs w:val="18"/>
              </w:rPr>
              <w:t>97.0</w:t>
            </w:r>
          </w:p>
        </w:tc>
        <w:tc>
          <w:tcPr>
            <w:tcW w:w="1398" w:type="dxa"/>
            <w:tcBorders>
              <w:top w:val="nil"/>
              <w:bottom w:val="nil"/>
            </w:tcBorders>
            <w:shd w:val="clear" w:color="auto" w:fill="FFFFFF"/>
            <w:vAlign w:val="center"/>
          </w:tcPr>
          <w:p w14:paraId="7969CD21" w14:textId="77777777" w:rsidR="00883073" w:rsidRPr="00883073" w:rsidRDefault="00883073" w:rsidP="00C80FB1">
            <w:pPr>
              <w:autoSpaceDE w:val="0"/>
              <w:autoSpaceDN w:val="0"/>
              <w:adjustRightInd w:val="0"/>
              <w:ind w:left="60" w:right="60"/>
              <w:jc w:val="right"/>
              <w:rPr>
                <w:rFonts w:ascii="Arial" w:hAnsi="Arial" w:cs="Arial"/>
                <w:color w:val="000000"/>
                <w:kern w:val="0"/>
                <w:sz w:val="18"/>
                <w:szCs w:val="18"/>
              </w:rPr>
            </w:pPr>
            <w:r w:rsidRPr="00883073">
              <w:rPr>
                <w:rFonts w:ascii="Arial" w:hAnsi="Arial" w:cs="Arial"/>
                <w:color w:val="000000"/>
                <w:kern w:val="0"/>
                <w:sz w:val="18"/>
                <w:szCs w:val="18"/>
              </w:rPr>
              <w:t>97.0</w:t>
            </w:r>
          </w:p>
        </w:tc>
        <w:tc>
          <w:tcPr>
            <w:tcW w:w="1475" w:type="dxa"/>
            <w:tcBorders>
              <w:top w:val="nil"/>
              <w:bottom w:val="nil"/>
              <w:right w:val="single" w:sz="16" w:space="0" w:color="000000"/>
            </w:tcBorders>
            <w:shd w:val="clear" w:color="auto" w:fill="FFFFFF"/>
            <w:vAlign w:val="center"/>
          </w:tcPr>
          <w:p w14:paraId="6AEF6EC9" w14:textId="77777777" w:rsidR="00883073" w:rsidRPr="00883073" w:rsidRDefault="00883073" w:rsidP="00C80FB1">
            <w:pPr>
              <w:autoSpaceDE w:val="0"/>
              <w:autoSpaceDN w:val="0"/>
              <w:adjustRightInd w:val="0"/>
              <w:ind w:left="60" w:right="60"/>
              <w:jc w:val="right"/>
              <w:rPr>
                <w:rFonts w:ascii="Arial" w:hAnsi="Arial" w:cs="Arial"/>
                <w:color w:val="000000"/>
                <w:kern w:val="0"/>
                <w:sz w:val="18"/>
                <w:szCs w:val="18"/>
              </w:rPr>
            </w:pPr>
            <w:r w:rsidRPr="00883073">
              <w:rPr>
                <w:rFonts w:ascii="Arial" w:hAnsi="Arial" w:cs="Arial"/>
                <w:color w:val="000000"/>
                <w:kern w:val="0"/>
                <w:sz w:val="18"/>
                <w:szCs w:val="18"/>
              </w:rPr>
              <w:t>100.0</w:t>
            </w:r>
          </w:p>
        </w:tc>
      </w:tr>
      <w:tr w:rsidR="00883073" w:rsidRPr="00883073" w14:paraId="040D4C86"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9B89E0C" w14:textId="77777777" w:rsidR="00883073" w:rsidRPr="00883073" w:rsidRDefault="00883073" w:rsidP="00C80FB1">
            <w:pPr>
              <w:autoSpaceDE w:val="0"/>
              <w:autoSpaceDN w:val="0"/>
              <w:adjustRightInd w:val="0"/>
              <w:jc w:val="left"/>
              <w:rPr>
                <w:rFonts w:ascii="Arial" w:hAnsi="Arial" w:cs="Arial"/>
                <w:color w:val="000000"/>
                <w:kern w:val="0"/>
                <w:sz w:val="18"/>
                <w:szCs w:val="18"/>
              </w:rPr>
            </w:pPr>
          </w:p>
        </w:tc>
        <w:tc>
          <w:tcPr>
            <w:tcW w:w="737" w:type="dxa"/>
            <w:tcBorders>
              <w:top w:val="nil"/>
              <w:left w:val="nil"/>
              <w:bottom w:val="single" w:sz="16" w:space="0" w:color="000000"/>
              <w:right w:val="single" w:sz="16" w:space="0" w:color="000000"/>
            </w:tcBorders>
            <w:shd w:val="clear" w:color="auto" w:fill="FFFFFF"/>
          </w:tcPr>
          <w:p w14:paraId="2A93EF21" w14:textId="77777777" w:rsidR="00883073" w:rsidRPr="00883073" w:rsidRDefault="00883073" w:rsidP="00C80FB1">
            <w:pPr>
              <w:autoSpaceDE w:val="0"/>
              <w:autoSpaceDN w:val="0"/>
              <w:adjustRightInd w:val="0"/>
              <w:ind w:left="60" w:right="60"/>
              <w:jc w:val="left"/>
              <w:rPr>
                <w:rFonts w:ascii="Arial" w:hAnsi="Arial" w:cs="Arial"/>
                <w:color w:val="000000"/>
                <w:kern w:val="0"/>
                <w:sz w:val="18"/>
                <w:szCs w:val="18"/>
              </w:rPr>
            </w:pPr>
            <w:r w:rsidRPr="00883073">
              <w:rPr>
                <w:rFonts w:ascii="Arial" w:hAnsi="Arial" w:cs="Arial"/>
                <w:color w:val="000000"/>
                <w:kern w:val="0"/>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08498462" w14:textId="77777777" w:rsidR="00883073" w:rsidRPr="00883073" w:rsidRDefault="00883073" w:rsidP="00C80FB1">
            <w:pPr>
              <w:autoSpaceDE w:val="0"/>
              <w:autoSpaceDN w:val="0"/>
              <w:adjustRightInd w:val="0"/>
              <w:ind w:left="60" w:right="60"/>
              <w:jc w:val="right"/>
              <w:rPr>
                <w:rFonts w:ascii="Arial" w:hAnsi="Arial" w:cs="Arial"/>
                <w:color w:val="000000"/>
                <w:kern w:val="0"/>
                <w:sz w:val="18"/>
                <w:szCs w:val="18"/>
              </w:rPr>
            </w:pPr>
            <w:r w:rsidRPr="00883073">
              <w:rPr>
                <w:rFonts w:ascii="Arial" w:hAnsi="Arial" w:cs="Arial"/>
                <w:color w:val="000000"/>
                <w:kern w:val="0"/>
                <w:sz w:val="18"/>
                <w:szCs w:val="18"/>
              </w:rPr>
              <w:t>100</w:t>
            </w:r>
          </w:p>
        </w:tc>
        <w:tc>
          <w:tcPr>
            <w:tcW w:w="1029" w:type="dxa"/>
            <w:tcBorders>
              <w:top w:val="nil"/>
              <w:bottom w:val="single" w:sz="16" w:space="0" w:color="000000"/>
            </w:tcBorders>
            <w:shd w:val="clear" w:color="auto" w:fill="FFFFFF"/>
            <w:vAlign w:val="center"/>
          </w:tcPr>
          <w:p w14:paraId="07684A58" w14:textId="77777777" w:rsidR="00883073" w:rsidRPr="00883073" w:rsidRDefault="00883073" w:rsidP="00C80FB1">
            <w:pPr>
              <w:autoSpaceDE w:val="0"/>
              <w:autoSpaceDN w:val="0"/>
              <w:adjustRightInd w:val="0"/>
              <w:ind w:left="60" w:right="60"/>
              <w:jc w:val="right"/>
              <w:rPr>
                <w:rFonts w:ascii="Arial" w:hAnsi="Arial" w:cs="Arial"/>
                <w:color w:val="000000"/>
                <w:kern w:val="0"/>
                <w:sz w:val="18"/>
                <w:szCs w:val="18"/>
              </w:rPr>
            </w:pPr>
            <w:r w:rsidRPr="00883073">
              <w:rPr>
                <w:rFonts w:ascii="Arial" w:hAnsi="Arial" w:cs="Arial"/>
                <w:color w:val="000000"/>
                <w:kern w:val="0"/>
                <w:sz w:val="18"/>
                <w:szCs w:val="18"/>
              </w:rPr>
              <w:t>100.0</w:t>
            </w:r>
          </w:p>
        </w:tc>
        <w:tc>
          <w:tcPr>
            <w:tcW w:w="1398" w:type="dxa"/>
            <w:tcBorders>
              <w:top w:val="nil"/>
              <w:bottom w:val="single" w:sz="16" w:space="0" w:color="000000"/>
            </w:tcBorders>
            <w:shd w:val="clear" w:color="auto" w:fill="FFFFFF"/>
            <w:vAlign w:val="center"/>
          </w:tcPr>
          <w:p w14:paraId="46F8C1EC" w14:textId="77777777" w:rsidR="00883073" w:rsidRPr="00883073" w:rsidRDefault="00883073" w:rsidP="00C80FB1">
            <w:pPr>
              <w:autoSpaceDE w:val="0"/>
              <w:autoSpaceDN w:val="0"/>
              <w:adjustRightInd w:val="0"/>
              <w:ind w:left="60" w:right="60"/>
              <w:jc w:val="right"/>
              <w:rPr>
                <w:rFonts w:ascii="Arial" w:hAnsi="Arial" w:cs="Arial"/>
                <w:color w:val="000000"/>
                <w:kern w:val="0"/>
                <w:sz w:val="18"/>
                <w:szCs w:val="18"/>
              </w:rPr>
            </w:pPr>
            <w:r w:rsidRPr="00883073">
              <w:rPr>
                <w:rFonts w:ascii="Arial" w:hAnsi="Arial" w:cs="Arial"/>
                <w:color w:val="000000"/>
                <w:kern w:val="0"/>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50345E2A" w14:textId="77777777" w:rsidR="00883073" w:rsidRPr="00883073" w:rsidRDefault="00883073" w:rsidP="00C80FB1">
            <w:pPr>
              <w:autoSpaceDE w:val="0"/>
              <w:autoSpaceDN w:val="0"/>
              <w:adjustRightInd w:val="0"/>
              <w:jc w:val="left"/>
              <w:rPr>
                <w:rFonts w:ascii="Times New Roman" w:hAnsi="Times New Roman" w:cs="Times New Roman"/>
                <w:kern w:val="0"/>
                <w:sz w:val="24"/>
                <w:szCs w:val="24"/>
              </w:rPr>
            </w:pPr>
          </w:p>
        </w:tc>
      </w:tr>
    </w:tbl>
    <w:p w14:paraId="7EECFCA5" w14:textId="77777777" w:rsidR="00FA4ADD" w:rsidRDefault="00FA4ADD" w:rsidP="00C80FB1">
      <w:pPr>
        <w:tabs>
          <w:tab w:val="left" w:pos="3380"/>
        </w:tabs>
      </w:pPr>
    </w:p>
    <w:p w14:paraId="010448E7" w14:textId="77777777" w:rsidR="00470361" w:rsidRDefault="00470361" w:rsidP="00C80FB1">
      <w:pPr>
        <w:autoSpaceDE w:val="0"/>
        <w:autoSpaceDN w:val="0"/>
        <w:adjustRightInd w:val="0"/>
        <w:jc w:val="left"/>
        <w:rPr>
          <w:rFonts w:ascii="Times New Roman" w:hAnsi="Times New Roman" w:cs="Times New Roman"/>
          <w:kern w:val="0"/>
          <w:sz w:val="24"/>
          <w:szCs w:val="24"/>
        </w:rPr>
      </w:pPr>
    </w:p>
    <w:p w14:paraId="2C4D4698" w14:textId="77777777" w:rsidR="00470361" w:rsidRDefault="00470361" w:rsidP="00C80FB1">
      <w:pPr>
        <w:autoSpaceDE w:val="0"/>
        <w:autoSpaceDN w:val="0"/>
        <w:adjustRightInd w:val="0"/>
        <w:jc w:val="left"/>
        <w:rPr>
          <w:rFonts w:ascii="Times New Roman" w:hAnsi="Times New Roman" w:cs="Times New Roman"/>
          <w:kern w:val="0"/>
          <w:sz w:val="24"/>
          <w:szCs w:val="24"/>
        </w:rPr>
      </w:pPr>
    </w:p>
    <w:p w14:paraId="4DC0F0E5" w14:textId="77777777" w:rsidR="00470361" w:rsidRDefault="00470361" w:rsidP="00C80FB1">
      <w:pPr>
        <w:autoSpaceDE w:val="0"/>
        <w:autoSpaceDN w:val="0"/>
        <w:adjustRightInd w:val="0"/>
        <w:jc w:val="left"/>
        <w:rPr>
          <w:rFonts w:ascii="Times New Roman" w:hAnsi="Times New Roman" w:cs="Times New Roman"/>
          <w:kern w:val="0"/>
          <w:sz w:val="24"/>
          <w:szCs w:val="24"/>
        </w:rPr>
      </w:pPr>
    </w:p>
    <w:p w14:paraId="77C32428" w14:textId="2B99FE63" w:rsidR="00E3734C" w:rsidRPr="00E3734C" w:rsidRDefault="00E3734C" w:rsidP="00C80FB1">
      <w:pPr>
        <w:autoSpaceDE w:val="0"/>
        <w:autoSpaceDN w:val="0"/>
        <w:adjustRightInd w:val="0"/>
        <w:jc w:val="left"/>
        <w:rPr>
          <w:rFonts w:ascii="Times New Roman" w:hAnsi="Times New Roman" w:cs="Times New Roman"/>
          <w:kern w:val="0"/>
          <w:sz w:val="24"/>
          <w:szCs w:val="24"/>
        </w:rPr>
      </w:pPr>
      <w:r w:rsidRPr="00E3734C">
        <w:rPr>
          <w:rFonts w:ascii="Times New Roman" w:hAnsi="Times New Roman" w:cs="Times New Roman"/>
          <w:kern w:val="0"/>
          <w:sz w:val="24"/>
          <w:szCs w:val="24"/>
        </w:rPr>
        <w:t xml:space="preserve">This table shows what 100 social workers in the study think about their professional responsibility to challenge gender stereotypes and biases (like unfair assumptions about how men or women should act). The results are very clear: almost all of them (97 out of 100, or 97%) believe "Yes," it is part of their job as social workers to </w:t>
      </w:r>
      <w:r w:rsidRPr="00E3734C">
        <w:rPr>
          <w:rFonts w:ascii="Times New Roman" w:hAnsi="Times New Roman" w:cs="Times New Roman"/>
          <w:kern w:val="0"/>
          <w:sz w:val="24"/>
          <w:szCs w:val="24"/>
        </w:rPr>
        <w:lastRenderedPageBreak/>
        <w:t>actively fight against these stereotypes when helping clients. Only a tiny few (3 out of 100, or 3%) said "No," they do not believe this is their responsibility.</w:t>
      </w:r>
    </w:p>
    <w:p w14:paraId="144EFAC2" w14:textId="50DEC0A2" w:rsidR="00E3734C" w:rsidRPr="00E3734C" w:rsidRDefault="00E3734C" w:rsidP="00C80FB1">
      <w:pPr>
        <w:autoSpaceDE w:val="0"/>
        <w:autoSpaceDN w:val="0"/>
        <w:adjustRightInd w:val="0"/>
        <w:jc w:val="left"/>
        <w:rPr>
          <w:rFonts w:ascii="Times New Roman" w:hAnsi="Times New Roman" w:cs="Times New Roman"/>
          <w:kern w:val="0"/>
          <w:sz w:val="24"/>
          <w:szCs w:val="24"/>
        </w:rPr>
      </w:pPr>
      <w:r w:rsidRPr="00E3734C">
        <w:rPr>
          <w:rFonts w:ascii="Times New Roman" w:hAnsi="Times New Roman" w:cs="Times New Roman"/>
          <w:kern w:val="0"/>
          <w:sz w:val="24"/>
          <w:szCs w:val="24"/>
        </w:rPr>
        <w:t>This is a strong and positive finding. It tells us that the overwhelming majority of these social workers see challenging harmful gender ideas as a core part of their professional role. This sense of responsibility is crucial because simply being aware of gender issues (like 98% were, Table 6) or even having training (like 75% did, Table 7) doesn't automatically mean someone feels it's their duty to actively confront stereotypes and biases in their work. This high percentage (97%) suggests a strong ethical commitment within this group to promote gender equality through their interventions.</w:t>
      </w:r>
    </w:p>
    <w:p w14:paraId="1716DC11" w14:textId="77777777" w:rsidR="00D82EAF" w:rsidRDefault="00D82EAF" w:rsidP="00C80FB1">
      <w:pPr>
        <w:autoSpaceDE w:val="0"/>
        <w:autoSpaceDN w:val="0"/>
        <w:adjustRightInd w:val="0"/>
        <w:jc w:val="left"/>
        <w:rPr>
          <w:rFonts w:ascii="Times New Roman" w:hAnsi="Times New Roman" w:cs="Times New Roman"/>
          <w:kern w:val="0"/>
          <w:sz w:val="24"/>
          <w:szCs w:val="24"/>
        </w:rPr>
      </w:pPr>
      <w:r>
        <w:rPr>
          <w:rFonts w:ascii="Times New Roman" w:hAnsi="Times New Roman" w:cs="Times New Roman"/>
          <w:kern w:val="0"/>
          <w:sz w:val="24"/>
          <w:szCs w:val="24"/>
        </w:rPr>
        <w:t xml:space="preserve"> </w:t>
      </w:r>
    </w:p>
    <w:p w14:paraId="77019157" w14:textId="620DB6C4" w:rsidR="00E3734C" w:rsidRPr="00E3734C" w:rsidRDefault="00E3734C" w:rsidP="00C80FB1">
      <w:pPr>
        <w:autoSpaceDE w:val="0"/>
        <w:autoSpaceDN w:val="0"/>
        <w:adjustRightInd w:val="0"/>
        <w:jc w:val="left"/>
        <w:rPr>
          <w:rFonts w:ascii="Times New Roman" w:hAnsi="Times New Roman" w:cs="Times New Roman"/>
          <w:kern w:val="0"/>
          <w:sz w:val="24"/>
          <w:szCs w:val="24"/>
        </w:rPr>
      </w:pPr>
      <w:r w:rsidRPr="00E3734C">
        <w:rPr>
          <w:rFonts w:ascii="Times New Roman" w:hAnsi="Times New Roman" w:cs="Times New Roman"/>
          <w:kern w:val="0"/>
          <w:sz w:val="24"/>
          <w:szCs w:val="24"/>
        </w:rPr>
        <w:t>This table shows that almost all social workers in this study (97 out of 100, or 97%) report facing challenges when trying to address gender-related issues in their work. These challenges could include things like not having enough money or tools (lack of resources), clients or communities pushing back against gender equality ideas (cultural resistance), or other obstacles. Only a very small number (3 out of 100, or 3%) said they have not</w:t>
      </w:r>
      <w:r w:rsidR="00D82EAF">
        <w:rPr>
          <w:rFonts w:ascii="Times New Roman" w:hAnsi="Times New Roman" w:cs="Times New Roman"/>
          <w:kern w:val="0"/>
          <w:sz w:val="24"/>
          <w:szCs w:val="24"/>
        </w:rPr>
        <w:t xml:space="preserve"> </w:t>
      </w:r>
      <w:r w:rsidRPr="00E3734C">
        <w:rPr>
          <w:rFonts w:ascii="Times New Roman" w:hAnsi="Times New Roman" w:cs="Times New Roman"/>
          <w:kern w:val="0"/>
          <w:sz w:val="24"/>
          <w:szCs w:val="24"/>
        </w:rPr>
        <w:t>faced such challenges.</w:t>
      </w:r>
    </w:p>
    <w:p w14:paraId="4F065534" w14:textId="3D40D7A1" w:rsidR="00CC59EE" w:rsidRDefault="00E3734C" w:rsidP="00BB64AB">
      <w:pPr>
        <w:autoSpaceDE w:val="0"/>
        <w:autoSpaceDN w:val="0"/>
        <w:adjustRightInd w:val="0"/>
        <w:jc w:val="left"/>
        <w:rPr>
          <w:rFonts w:ascii="Times New Roman" w:hAnsi="Times New Roman" w:cs="Times New Roman"/>
          <w:kern w:val="0"/>
          <w:sz w:val="24"/>
          <w:szCs w:val="24"/>
        </w:rPr>
      </w:pPr>
      <w:r w:rsidRPr="00E3734C">
        <w:rPr>
          <w:rFonts w:ascii="Times New Roman" w:hAnsi="Times New Roman" w:cs="Times New Roman"/>
          <w:kern w:val="0"/>
          <w:sz w:val="24"/>
          <w:szCs w:val="24"/>
        </w:rPr>
        <w:t>This is a very important finding.</w:t>
      </w:r>
      <w:r w:rsidR="00D82EAF">
        <w:rPr>
          <w:rFonts w:ascii="Times New Roman" w:hAnsi="Times New Roman" w:cs="Times New Roman"/>
          <w:kern w:val="0"/>
          <w:sz w:val="24"/>
          <w:szCs w:val="24"/>
        </w:rPr>
        <w:t xml:space="preserve"> </w:t>
      </w:r>
      <w:r w:rsidRPr="00E3734C">
        <w:rPr>
          <w:rFonts w:ascii="Times New Roman" w:hAnsi="Times New Roman" w:cs="Times New Roman"/>
          <w:kern w:val="0"/>
          <w:sz w:val="24"/>
          <w:szCs w:val="24"/>
        </w:rPr>
        <w:t>While the previous tables showed high awareness (98%, Table 6), common training (75%, Table 7), widespread belief in responsibility (97%, Table 9), and frequent use of gender-sensitive approaches (86%, Table 8), this table reveals that doing this work is difficult</w:t>
      </w:r>
      <w:r w:rsidR="00D82EAF">
        <w:rPr>
          <w:rFonts w:ascii="Times New Roman" w:hAnsi="Times New Roman" w:cs="Times New Roman"/>
          <w:kern w:val="0"/>
          <w:sz w:val="24"/>
          <w:szCs w:val="24"/>
        </w:rPr>
        <w:t xml:space="preserve"> </w:t>
      </w:r>
      <w:r w:rsidRPr="00E3734C">
        <w:rPr>
          <w:rFonts w:ascii="Times New Roman" w:hAnsi="Times New Roman" w:cs="Times New Roman"/>
          <w:kern w:val="0"/>
          <w:sz w:val="24"/>
          <w:szCs w:val="24"/>
        </w:rPr>
        <w:t>for nearly everyone. Even workers who are aware, trained, willing, and trying still encounter significant barriers.</w:t>
      </w:r>
    </w:p>
    <w:p w14:paraId="264CC203" w14:textId="77777777" w:rsidR="00CC59EE" w:rsidRDefault="00CC59EE" w:rsidP="00E93636">
      <w:pPr>
        <w:autoSpaceDE w:val="0"/>
        <w:autoSpaceDN w:val="0"/>
        <w:adjustRightInd w:val="0"/>
        <w:spacing w:line="240" w:lineRule="auto"/>
        <w:jc w:val="left"/>
        <w:rPr>
          <w:rFonts w:ascii="Times New Roman" w:hAnsi="Times New Roman" w:cs="Times New Roman"/>
          <w:kern w:val="0"/>
          <w:sz w:val="24"/>
          <w:szCs w:val="24"/>
        </w:rPr>
      </w:pPr>
    </w:p>
    <w:p w14:paraId="60F9EA98" w14:textId="77777777" w:rsidR="00CC59EE" w:rsidRDefault="00CC59EE" w:rsidP="00E93636">
      <w:pPr>
        <w:autoSpaceDE w:val="0"/>
        <w:autoSpaceDN w:val="0"/>
        <w:adjustRightInd w:val="0"/>
        <w:spacing w:line="240" w:lineRule="auto"/>
        <w:jc w:val="left"/>
        <w:rPr>
          <w:rFonts w:ascii="Times New Roman" w:hAnsi="Times New Roman" w:cs="Times New Roman"/>
          <w:kern w:val="0"/>
          <w:sz w:val="24"/>
          <w:szCs w:val="24"/>
        </w:rPr>
      </w:pPr>
    </w:p>
    <w:p w14:paraId="7C996B5A" w14:textId="77777777" w:rsidR="00CC59EE" w:rsidRDefault="00CC59EE" w:rsidP="00E93636">
      <w:pPr>
        <w:autoSpaceDE w:val="0"/>
        <w:autoSpaceDN w:val="0"/>
        <w:adjustRightInd w:val="0"/>
        <w:spacing w:line="240" w:lineRule="auto"/>
        <w:jc w:val="left"/>
        <w:rPr>
          <w:rFonts w:ascii="Times New Roman" w:hAnsi="Times New Roman" w:cs="Times New Roman"/>
          <w:kern w:val="0"/>
          <w:sz w:val="24"/>
          <w:szCs w:val="24"/>
        </w:rPr>
      </w:pPr>
    </w:p>
    <w:p w14:paraId="4DCD2DC5" w14:textId="77777777" w:rsidR="00CC59EE" w:rsidRPr="00E93636" w:rsidRDefault="00CC59EE" w:rsidP="00E93636">
      <w:pPr>
        <w:autoSpaceDE w:val="0"/>
        <w:autoSpaceDN w:val="0"/>
        <w:adjustRightInd w:val="0"/>
        <w:spacing w:line="240" w:lineRule="auto"/>
        <w:jc w:val="left"/>
        <w:rPr>
          <w:rFonts w:ascii="Times New Roman" w:hAnsi="Times New Roman" w:cs="Times New Roman"/>
          <w:kern w:val="0"/>
          <w:sz w:val="24"/>
          <w:szCs w:val="24"/>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E93636" w:rsidRPr="00E93636" w14:paraId="6870C03F" w14:textId="77777777">
        <w:trPr>
          <w:cantSplit/>
        </w:trPr>
        <w:tc>
          <w:tcPr>
            <w:tcW w:w="6544" w:type="dxa"/>
            <w:gridSpan w:val="6"/>
            <w:tcBorders>
              <w:top w:val="nil"/>
              <w:left w:val="nil"/>
              <w:bottom w:val="nil"/>
              <w:right w:val="nil"/>
            </w:tcBorders>
            <w:shd w:val="clear" w:color="auto" w:fill="FFFFFF"/>
            <w:vAlign w:val="center"/>
          </w:tcPr>
          <w:p w14:paraId="68BAFC5F" w14:textId="77777777" w:rsidR="00E93636" w:rsidRPr="00E93636" w:rsidRDefault="00E93636" w:rsidP="00E93636">
            <w:pPr>
              <w:autoSpaceDE w:val="0"/>
              <w:autoSpaceDN w:val="0"/>
              <w:adjustRightInd w:val="0"/>
              <w:spacing w:line="320" w:lineRule="atLeast"/>
              <w:ind w:left="60" w:right="60"/>
              <w:jc w:val="center"/>
              <w:rPr>
                <w:rFonts w:ascii="Arial" w:hAnsi="Arial" w:cs="Arial"/>
                <w:color w:val="000000"/>
                <w:kern w:val="0"/>
                <w:sz w:val="18"/>
                <w:szCs w:val="18"/>
              </w:rPr>
            </w:pPr>
            <w:r w:rsidRPr="00E93636">
              <w:rPr>
                <w:rFonts w:ascii="Arial" w:hAnsi="Arial" w:cs="Arial"/>
                <w:b/>
                <w:bCs/>
                <w:color w:val="000000"/>
                <w:kern w:val="0"/>
                <w:sz w:val="18"/>
                <w:szCs w:val="18"/>
              </w:rPr>
              <w:t>10. Have you faced challenges (e.g., lack of resources, cultural resistance) while addressing gender-related issues in your work?</w:t>
            </w:r>
          </w:p>
        </w:tc>
      </w:tr>
      <w:tr w:rsidR="00E93636" w:rsidRPr="00E93636" w14:paraId="48D580BD" w14:textId="77777777">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488C14C4" w14:textId="77777777" w:rsidR="00E93636" w:rsidRPr="00E93636" w:rsidRDefault="00E93636" w:rsidP="00E93636">
            <w:pPr>
              <w:autoSpaceDE w:val="0"/>
              <w:autoSpaceDN w:val="0"/>
              <w:adjustRightInd w:val="0"/>
              <w:spacing w:line="240" w:lineRule="auto"/>
              <w:jc w:val="left"/>
              <w:rPr>
                <w:rFonts w:ascii="Times New Roman" w:hAnsi="Times New Roman" w:cs="Times New Roman"/>
                <w:kern w:val="0"/>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14:paraId="410581EA" w14:textId="77777777" w:rsidR="00E93636" w:rsidRPr="00E93636" w:rsidRDefault="00E93636" w:rsidP="00E93636">
            <w:pPr>
              <w:autoSpaceDE w:val="0"/>
              <w:autoSpaceDN w:val="0"/>
              <w:adjustRightInd w:val="0"/>
              <w:spacing w:line="320" w:lineRule="atLeast"/>
              <w:ind w:left="60" w:right="60"/>
              <w:jc w:val="center"/>
              <w:rPr>
                <w:rFonts w:ascii="Arial" w:hAnsi="Arial" w:cs="Arial"/>
                <w:color w:val="000000"/>
                <w:kern w:val="0"/>
                <w:sz w:val="18"/>
                <w:szCs w:val="18"/>
              </w:rPr>
            </w:pPr>
            <w:r w:rsidRPr="00E93636">
              <w:rPr>
                <w:rFonts w:ascii="Arial" w:hAnsi="Arial" w:cs="Arial"/>
                <w:color w:val="000000"/>
                <w:kern w:val="0"/>
                <w:sz w:val="18"/>
                <w:szCs w:val="18"/>
              </w:rPr>
              <w:t>Frequency</w:t>
            </w:r>
          </w:p>
        </w:tc>
        <w:tc>
          <w:tcPr>
            <w:tcW w:w="1029" w:type="dxa"/>
            <w:tcBorders>
              <w:top w:val="single" w:sz="16" w:space="0" w:color="000000"/>
              <w:bottom w:val="single" w:sz="16" w:space="0" w:color="000000"/>
            </w:tcBorders>
            <w:shd w:val="clear" w:color="auto" w:fill="FFFFFF"/>
            <w:vAlign w:val="bottom"/>
          </w:tcPr>
          <w:p w14:paraId="0B55B844" w14:textId="77777777" w:rsidR="00E93636" w:rsidRPr="00E93636" w:rsidRDefault="00E93636" w:rsidP="00E93636">
            <w:pPr>
              <w:autoSpaceDE w:val="0"/>
              <w:autoSpaceDN w:val="0"/>
              <w:adjustRightInd w:val="0"/>
              <w:spacing w:line="320" w:lineRule="atLeast"/>
              <w:ind w:left="60" w:right="60"/>
              <w:jc w:val="center"/>
              <w:rPr>
                <w:rFonts w:ascii="Arial" w:hAnsi="Arial" w:cs="Arial"/>
                <w:color w:val="000000"/>
                <w:kern w:val="0"/>
                <w:sz w:val="18"/>
                <w:szCs w:val="18"/>
              </w:rPr>
            </w:pPr>
            <w:r w:rsidRPr="00E93636">
              <w:rPr>
                <w:rFonts w:ascii="Arial" w:hAnsi="Arial" w:cs="Arial"/>
                <w:color w:val="000000"/>
                <w:kern w:val="0"/>
                <w:sz w:val="18"/>
                <w:szCs w:val="18"/>
              </w:rPr>
              <w:t>Percent</w:t>
            </w:r>
          </w:p>
        </w:tc>
        <w:tc>
          <w:tcPr>
            <w:tcW w:w="1398" w:type="dxa"/>
            <w:tcBorders>
              <w:top w:val="single" w:sz="16" w:space="0" w:color="000000"/>
              <w:bottom w:val="single" w:sz="16" w:space="0" w:color="000000"/>
            </w:tcBorders>
            <w:shd w:val="clear" w:color="auto" w:fill="FFFFFF"/>
            <w:vAlign w:val="bottom"/>
          </w:tcPr>
          <w:p w14:paraId="728ABC67" w14:textId="77777777" w:rsidR="00E93636" w:rsidRPr="00E93636" w:rsidRDefault="00E93636" w:rsidP="00E93636">
            <w:pPr>
              <w:autoSpaceDE w:val="0"/>
              <w:autoSpaceDN w:val="0"/>
              <w:adjustRightInd w:val="0"/>
              <w:spacing w:line="320" w:lineRule="atLeast"/>
              <w:ind w:left="60" w:right="60"/>
              <w:jc w:val="center"/>
              <w:rPr>
                <w:rFonts w:ascii="Arial" w:hAnsi="Arial" w:cs="Arial"/>
                <w:color w:val="000000"/>
                <w:kern w:val="0"/>
                <w:sz w:val="18"/>
                <w:szCs w:val="18"/>
              </w:rPr>
            </w:pPr>
            <w:r w:rsidRPr="00E93636">
              <w:rPr>
                <w:rFonts w:ascii="Arial" w:hAnsi="Arial" w:cs="Arial"/>
                <w:color w:val="000000"/>
                <w:kern w:val="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4F6AA1FF" w14:textId="77777777" w:rsidR="00E93636" w:rsidRPr="00E93636" w:rsidRDefault="00E93636" w:rsidP="00E93636">
            <w:pPr>
              <w:autoSpaceDE w:val="0"/>
              <w:autoSpaceDN w:val="0"/>
              <w:adjustRightInd w:val="0"/>
              <w:spacing w:line="320" w:lineRule="atLeast"/>
              <w:ind w:left="60" w:right="60"/>
              <w:jc w:val="center"/>
              <w:rPr>
                <w:rFonts w:ascii="Arial" w:hAnsi="Arial" w:cs="Arial"/>
                <w:color w:val="000000"/>
                <w:kern w:val="0"/>
                <w:sz w:val="18"/>
                <w:szCs w:val="18"/>
              </w:rPr>
            </w:pPr>
            <w:r w:rsidRPr="00E93636">
              <w:rPr>
                <w:rFonts w:ascii="Arial" w:hAnsi="Arial" w:cs="Arial"/>
                <w:color w:val="000000"/>
                <w:kern w:val="0"/>
                <w:sz w:val="18"/>
                <w:szCs w:val="18"/>
              </w:rPr>
              <w:t>Cumulative Percent</w:t>
            </w:r>
          </w:p>
        </w:tc>
      </w:tr>
      <w:tr w:rsidR="00E93636" w:rsidRPr="00E93636" w14:paraId="28B4997D" w14:textId="77777777">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41B8A8FA" w14:textId="77777777" w:rsidR="00E93636" w:rsidRPr="00E93636" w:rsidRDefault="00E93636" w:rsidP="00E93636">
            <w:pPr>
              <w:autoSpaceDE w:val="0"/>
              <w:autoSpaceDN w:val="0"/>
              <w:adjustRightInd w:val="0"/>
              <w:spacing w:line="320" w:lineRule="atLeast"/>
              <w:ind w:left="60" w:right="60"/>
              <w:jc w:val="left"/>
              <w:rPr>
                <w:rFonts w:ascii="Arial" w:hAnsi="Arial" w:cs="Arial"/>
                <w:color w:val="000000"/>
                <w:kern w:val="0"/>
                <w:sz w:val="18"/>
                <w:szCs w:val="18"/>
              </w:rPr>
            </w:pPr>
            <w:r w:rsidRPr="00E93636">
              <w:rPr>
                <w:rFonts w:ascii="Arial" w:hAnsi="Arial" w:cs="Arial"/>
                <w:color w:val="000000"/>
                <w:kern w:val="0"/>
                <w:sz w:val="18"/>
                <w:szCs w:val="18"/>
              </w:rPr>
              <w:t>Valid</w:t>
            </w:r>
          </w:p>
        </w:tc>
        <w:tc>
          <w:tcPr>
            <w:tcW w:w="737" w:type="dxa"/>
            <w:tcBorders>
              <w:top w:val="single" w:sz="16" w:space="0" w:color="000000"/>
              <w:left w:val="nil"/>
              <w:bottom w:val="nil"/>
              <w:right w:val="single" w:sz="16" w:space="0" w:color="000000"/>
            </w:tcBorders>
            <w:shd w:val="clear" w:color="auto" w:fill="FFFFFF"/>
          </w:tcPr>
          <w:p w14:paraId="64376240" w14:textId="77777777" w:rsidR="00E93636" w:rsidRPr="00E93636" w:rsidRDefault="00E93636" w:rsidP="00E93636">
            <w:pPr>
              <w:autoSpaceDE w:val="0"/>
              <w:autoSpaceDN w:val="0"/>
              <w:adjustRightInd w:val="0"/>
              <w:spacing w:line="320" w:lineRule="atLeast"/>
              <w:ind w:left="60" w:right="60"/>
              <w:jc w:val="left"/>
              <w:rPr>
                <w:rFonts w:ascii="Arial" w:hAnsi="Arial" w:cs="Arial"/>
                <w:color w:val="000000"/>
                <w:kern w:val="0"/>
                <w:sz w:val="18"/>
                <w:szCs w:val="18"/>
              </w:rPr>
            </w:pPr>
            <w:r w:rsidRPr="00E93636">
              <w:rPr>
                <w:rFonts w:ascii="Arial" w:hAnsi="Arial" w:cs="Arial"/>
                <w:color w:val="000000"/>
                <w:kern w:val="0"/>
                <w:sz w:val="18"/>
                <w:szCs w:val="18"/>
              </w:rPr>
              <w:t>No</w:t>
            </w:r>
          </w:p>
        </w:tc>
        <w:tc>
          <w:tcPr>
            <w:tcW w:w="1168" w:type="dxa"/>
            <w:tcBorders>
              <w:top w:val="single" w:sz="16" w:space="0" w:color="000000"/>
              <w:left w:val="single" w:sz="16" w:space="0" w:color="000000"/>
              <w:bottom w:val="nil"/>
            </w:tcBorders>
            <w:shd w:val="clear" w:color="auto" w:fill="FFFFFF"/>
            <w:vAlign w:val="center"/>
          </w:tcPr>
          <w:p w14:paraId="3BC10C83" w14:textId="77777777" w:rsidR="00E93636" w:rsidRPr="00E93636" w:rsidRDefault="00E93636" w:rsidP="00E93636">
            <w:pPr>
              <w:autoSpaceDE w:val="0"/>
              <w:autoSpaceDN w:val="0"/>
              <w:adjustRightInd w:val="0"/>
              <w:spacing w:line="320" w:lineRule="atLeast"/>
              <w:ind w:left="60" w:right="60"/>
              <w:jc w:val="right"/>
              <w:rPr>
                <w:rFonts w:ascii="Arial" w:hAnsi="Arial" w:cs="Arial"/>
                <w:color w:val="000000"/>
                <w:kern w:val="0"/>
                <w:sz w:val="18"/>
                <w:szCs w:val="18"/>
              </w:rPr>
            </w:pPr>
            <w:r w:rsidRPr="00E93636">
              <w:rPr>
                <w:rFonts w:ascii="Arial" w:hAnsi="Arial" w:cs="Arial"/>
                <w:color w:val="000000"/>
                <w:kern w:val="0"/>
                <w:sz w:val="18"/>
                <w:szCs w:val="18"/>
              </w:rPr>
              <w:t>3</w:t>
            </w:r>
          </w:p>
        </w:tc>
        <w:tc>
          <w:tcPr>
            <w:tcW w:w="1029" w:type="dxa"/>
            <w:tcBorders>
              <w:top w:val="single" w:sz="16" w:space="0" w:color="000000"/>
              <w:bottom w:val="nil"/>
            </w:tcBorders>
            <w:shd w:val="clear" w:color="auto" w:fill="FFFFFF"/>
            <w:vAlign w:val="center"/>
          </w:tcPr>
          <w:p w14:paraId="7809E091" w14:textId="77777777" w:rsidR="00E93636" w:rsidRPr="00E93636" w:rsidRDefault="00E93636" w:rsidP="00E93636">
            <w:pPr>
              <w:autoSpaceDE w:val="0"/>
              <w:autoSpaceDN w:val="0"/>
              <w:adjustRightInd w:val="0"/>
              <w:spacing w:line="320" w:lineRule="atLeast"/>
              <w:ind w:left="60" w:right="60"/>
              <w:jc w:val="right"/>
              <w:rPr>
                <w:rFonts w:ascii="Arial" w:hAnsi="Arial" w:cs="Arial"/>
                <w:color w:val="000000"/>
                <w:kern w:val="0"/>
                <w:sz w:val="18"/>
                <w:szCs w:val="18"/>
              </w:rPr>
            </w:pPr>
            <w:r w:rsidRPr="00E93636">
              <w:rPr>
                <w:rFonts w:ascii="Arial" w:hAnsi="Arial" w:cs="Arial"/>
                <w:color w:val="000000"/>
                <w:kern w:val="0"/>
                <w:sz w:val="18"/>
                <w:szCs w:val="18"/>
              </w:rPr>
              <w:t>3.0</w:t>
            </w:r>
          </w:p>
        </w:tc>
        <w:tc>
          <w:tcPr>
            <w:tcW w:w="1398" w:type="dxa"/>
            <w:tcBorders>
              <w:top w:val="single" w:sz="16" w:space="0" w:color="000000"/>
              <w:bottom w:val="nil"/>
            </w:tcBorders>
            <w:shd w:val="clear" w:color="auto" w:fill="FFFFFF"/>
            <w:vAlign w:val="center"/>
          </w:tcPr>
          <w:p w14:paraId="2DF918DB" w14:textId="77777777" w:rsidR="00E93636" w:rsidRPr="00E93636" w:rsidRDefault="00E93636" w:rsidP="00E93636">
            <w:pPr>
              <w:autoSpaceDE w:val="0"/>
              <w:autoSpaceDN w:val="0"/>
              <w:adjustRightInd w:val="0"/>
              <w:spacing w:line="320" w:lineRule="atLeast"/>
              <w:ind w:left="60" w:right="60"/>
              <w:jc w:val="right"/>
              <w:rPr>
                <w:rFonts w:ascii="Arial" w:hAnsi="Arial" w:cs="Arial"/>
                <w:color w:val="000000"/>
                <w:kern w:val="0"/>
                <w:sz w:val="18"/>
                <w:szCs w:val="18"/>
              </w:rPr>
            </w:pPr>
            <w:r w:rsidRPr="00E93636">
              <w:rPr>
                <w:rFonts w:ascii="Arial" w:hAnsi="Arial" w:cs="Arial"/>
                <w:color w:val="000000"/>
                <w:kern w:val="0"/>
                <w:sz w:val="18"/>
                <w:szCs w:val="18"/>
              </w:rPr>
              <w:t>3.0</w:t>
            </w:r>
          </w:p>
        </w:tc>
        <w:tc>
          <w:tcPr>
            <w:tcW w:w="1475" w:type="dxa"/>
            <w:tcBorders>
              <w:top w:val="single" w:sz="16" w:space="0" w:color="000000"/>
              <w:bottom w:val="nil"/>
              <w:right w:val="single" w:sz="16" w:space="0" w:color="000000"/>
            </w:tcBorders>
            <w:shd w:val="clear" w:color="auto" w:fill="FFFFFF"/>
            <w:vAlign w:val="center"/>
          </w:tcPr>
          <w:p w14:paraId="483B5EE7" w14:textId="77777777" w:rsidR="00E93636" w:rsidRPr="00E93636" w:rsidRDefault="00E93636" w:rsidP="00E93636">
            <w:pPr>
              <w:autoSpaceDE w:val="0"/>
              <w:autoSpaceDN w:val="0"/>
              <w:adjustRightInd w:val="0"/>
              <w:spacing w:line="320" w:lineRule="atLeast"/>
              <w:ind w:left="60" w:right="60"/>
              <w:jc w:val="right"/>
              <w:rPr>
                <w:rFonts w:ascii="Arial" w:hAnsi="Arial" w:cs="Arial"/>
                <w:color w:val="000000"/>
                <w:kern w:val="0"/>
                <w:sz w:val="18"/>
                <w:szCs w:val="18"/>
              </w:rPr>
            </w:pPr>
            <w:r w:rsidRPr="00E93636">
              <w:rPr>
                <w:rFonts w:ascii="Arial" w:hAnsi="Arial" w:cs="Arial"/>
                <w:color w:val="000000"/>
                <w:kern w:val="0"/>
                <w:sz w:val="18"/>
                <w:szCs w:val="18"/>
              </w:rPr>
              <w:t>3.0</w:t>
            </w:r>
          </w:p>
        </w:tc>
      </w:tr>
      <w:tr w:rsidR="00E93636" w:rsidRPr="00E93636" w14:paraId="29F27BB4"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33711485" w14:textId="77777777" w:rsidR="00E93636" w:rsidRPr="00E93636" w:rsidRDefault="00E93636" w:rsidP="00E93636">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nil"/>
              <w:right w:val="single" w:sz="16" w:space="0" w:color="000000"/>
            </w:tcBorders>
            <w:shd w:val="clear" w:color="auto" w:fill="FFFFFF"/>
          </w:tcPr>
          <w:p w14:paraId="142D106E" w14:textId="77777777" w:rsidR="00E93636" w:rsidRPr="00E93636" w:rsidRDefault="00E93636" w:rsidP="00E93636">
            <w:pPr>
              <w:autoSpaceDE w:val="0"/>
              <w:autoSpaceDN w:val="0"/>
              <w:adjustRightInd w:val="0"/>
              <w:spacing w:line="320" w:lineRule="atLeast"/>
              <w:ind w:left="60" w:right="60"/>
              <w:jc w:val="left"/>
              <w:rPr>
                <w:rFonts w:ascii="Arial" w:hAnsi="Arial" w:cs="Arial"/>
                <w:color w:val="000000"/>
                <w:kern w:val="0"/>
                <w:sz w:val="18"/>
                <w:szCs w:val="18"/>
              </w:rPr>
            </w:pPr>
            <w:r w:rsidRPr="00E93636">
              <w:rPr>
                <w:rFonts w:ascii="Arial" w:hAnsi="Arial" w:cs="Arial"/>
                <w:color w:val="000000"/>
                <w:kern w:val="0"/>
                <w:sz w:val="18"/>
                <w:szCs w:val="18"/>
              </w:rPr>
              <w:t>Yes</w:t>
            </w:r>
          </w:p>
        </w:tc>
        <w:tc>
          <w:tcPr>
            <w:tcW w:w="1168" w:type="dxa"/>
            <w:tcBorders>
              <w:top w:val="nil"/>
              <w:left w:val="single" w:sz="16" w:space="0" w:color="000000"/>
              <w:bottom w:val="nil"/>
            </w:tcBorders>
            <w:shd w:val="clear" w:color="auto" w:fill="FFFFFF"/>
            <w:vAlign w:val="center"/>
          </w:tcPr>
          <w:p w14:paraId="1FDC04D5" w14:textId="77777777" w:rsidR="00E93636" w:rsidRPr="00E93636" w:rsidRDefault="00E93636" w:rsidP="00E93636">
            <w:pPr>
              <w:autoSpaceDE w:val="0"/>
              <w:autoSpaceDN w:val="0"/>
              <w:adjustRightInd w:val="0"/>
              <w:spacing w:line="320" w:lineRule="atLeast"/>
              <w:ind w:left="60" w:right="60"/>
              <w:jc w:val="right"/>
              <w:rPr>
                <w:rFonts w:ascii="Arial" w:hAnsi="Arial" w:cs="Arial"/>
                <w:color w:val="000000"/>
                <w:kern w:val="0"/>
                <w:sz w:val="18"/>
                <w:szCs w:val="18"/>
              </w:rPr>
            </w:pPr>
            <w:r w:rsidRPr="00E93636">
              <w:rPr>
                <w:rFonts w:ascii="Arial" w:hAnsi="Arial" w:cs="Arial"/>
                <w:color w:val="000000"/>
                <w:kern w:val="0"/>
                <w:sz w:val="18"/>
                <w:szCs w:val="18"/>
              </w:rPr>
              <w:t>97</w:t>
            </w:r>
          </w:p>
        </w:tc>
        <w:tc>
          <w:tcPr>
            <w:tcW w:w="1029" w:type="dxa"/>
            <w:tcBorders>
              <w:top w:val="nil"/>
              <w:bottom w:val="nil"/>
            </w:tcBorders>
            <w:shd w:val="clear" w:color="auto" w:fill="FFFFFF"/>
            <w:vAlign w:val="center"/>
          </w:tcPr>
          <w:p w14:paraId="56B2340C" w14:textId="77777777" w:rsidR="00E93636" w:rsidRPr="00E93636" w:rsidRDefault="00E93636" w:rsidP="00E93636">
            <w:pPr>
              <w:autoSpaceDE w:val="0"/>
              <w:autoSpaceDN w:val="0"/>
              <w:adjustRightInd w:val="0"/>
              <w:spacing w:line="320" w:lineRule="atLeast"/>
              <w:ind w:left="60" w:right="60"/>
              <w:jc w:val="right"/>
              <w:rPr>
                <w:rFonts w:ascii="Arial" w:hAnsi="Arial" w:cs="Arial"/>
                <w:color w:val="000000"/>
                <w:kern w:val="0"/>
                <w:sz w:val="18"/>
                <w:szCs w:val="18"/>
              </w:rPr>
            </w:pPr>
            <w:r w:rsidRPr="00E93636">
              <w:rPr>
                <w:rFonts w:ascii="Arial" w:hAnsi="Arial" w:cs="Arial"/>
                <w:color w:val="000000"/>
                <w:kern w:val="0"/>
                <w:sz w:val="18"/>
                <w:szCs w:val="18"/>
              </w:rPr>
              <w:t>97.0</w:t>
            </w:r>
          </w:p>
        </w:tc>
        <w:tc>
          <w:tcPr>
            <w:tcW w:w="1398" w:type="dxa"/>
            <w:tcBorders>
              <w:top w:val="nil"/>
              <w:bottom w:val="nil"/>
            </w:tcBorders>
            <w:shd w:val="clear" w:color="auto" w:fill="FFFFFF"/>
            <w:vAlign w:val="center"/>
          </w:tcPr>
          <w:p w14:paraId="0D8393F1" w14:textId="77777777" w:rsidR="00E93636" w:rsidRPr="00E93636" w:rsidRDefault="00E93636" w:rsidP="00E93636">
            <w:pPr>
              <w:autoSpaceDE w:val="0"/>
              <w:autoSpaceDN w:val="0"/>
              <w:adjustRightInd w:val="0"/>
              <w:spacing w:line="320" w:lineRule="atLeast"/>
              <w:ind w:left="60" w:right="60"/>
              <w:jc w:val="right"/>
              <w:rPr>
                <w:rFonts w:ascii="Arial" w:hAnsi="Arial" w:cs="Arial"/>
                <w:color w:val="000000"/>
                <w:kern w:val="0"/>
                <w:sz w:val="18"/>
                <w:szCs w:val="18"/>
              </w:rPr>
            </w:pPr>
            <w:r w:rsidRPr="00E93636">
              <w:rPr>
                <w:rFonts w:ascii="Arial" w:hAnsi="Arial" w:cs="Arial"/>
                <w:color w:val="000000"/>
                <w:kern w:val="0"/>
                <w:sz w:val="18"/>
                <w:szCs w:val="18"/>
              </w:rPr>
              <w:t>97.0</w:t>
            </w:r>
          </w:p>
        </w:tc>
        <w:tc>
          <w:tcPr>
            <w:tcW w:w="1475" w:type="dxa"/>
            <w:tcBorders>
              <w:top w:val="nil"/>
              <w:bottom w:val="nil"/>
              <w:right w:val="single" w:sz="16" w:space="0" w:color="000000"/>
            </w:tcBorders>
            <w:shd w:val="clear" w:color="auto" w:fill="FFFFFF"/>
            <w:vAlign w:val="center"/>
          </w:tcPr>
          <w:p w14:paraId="0BCF4764" w14:textId="77777777" w:rsidR="00E93636" w:rsidRPr="00E93636" w:rsidRDefault="00E93636" w:rsidP="00E93636">
            <w:pPr>
              <w:autoSpaceDE w:val="0"/>
              <w:autoSpaceDN w:val="0"/>
              <w:adjustRightInd w:val="0"/>
              <w:spacing w:line="320" w:lineRule="atLeast"/>
              <w:ind w:left="60" w:right="60"/>
              <w:jc w:val="right"/>
              <w:rPr>
                <w:rFonts w:ascii="Arial" w:hAnsi="Arial" w:cs="Arial"/>
                <w:color w:val="000000"/>
                <w:kern w:val="0"/>
                <w:sz w:val="18"/>
                <w:szCs w:val="18"/>
              </w:rPr>
            </w:pPr>
            <w:r w:rsidRPr="00E93636">
              <w:rPr>
                <w:rFonts w:ascii="Arial" w:hAnsi="Arial" w:cs="Arial"/>
                <w:color w:val="000000"/>
                <w:kern w:val="0"/>
                <w:sz w:val="18"/>
                <w:szCs w:val="18"/>
              </w:rPr>
              <w:t>100.0</w:t>
            </w:r>
          </w:p>
        </w:tc>
      </w:tr>
      <w:tr w:rsidR="00E93636" w:rsidRPr="00E93636" w14:paraId="0875ED76"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68080F4" w14:textId="77777777" w:rsidR="00E93636" w:rsidRPr="00E93636" w:rsidRDefault="00E93636" w:rsidP="00E93636">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single" w:sz="16" w:space="0" w:color="000000"/>
              <w:right w:val="single" w:sz="16" w:space="0" w:color="000000"/>
            </w:tcBorders>
            <w:shd w:val="clear" w:color="auto" w:fill="FFFFFF"/>
          </w:tcPr>
          <w:p w14:paraId="1AE0054E" w14:textId="77777777" w:rsidR="00E93636" w:rsidRPr="00E93636" w:rsidRDefault="00E93636" w:rsidP="00E93636">
            <w:pPr>
              <w:autoSpaceDE w:val="0"/>
              <w:autoSpaceDN w:val="0"/>
              <w:adjustRightInd w:val="0"/>
              <w:spacing w:line="320" w:lineRule="atLeast"/>
              <w:ind w:left="60" w:right="60"/>
              <w:jc w:val="left"/>
              <w:rPr>
                <w:rFonts w:ascii="Arial" w:hAnsi="Arial" w:cs="Arial"/>
                <w:color w:val="000000"/>
                <w:kern w:val="0"/>
                <w:sz w:val="18"/>
                <w:szCs w:val="18"/>
              </w:rPr>
            </w:pPr>
            <w:r w:rsidRPr="00E93636">
              <w:rPr>
                <w:rFonts w:ascii="Arial" w:hAnsi="Arial" w:cs="Arial"/>
                <w:color w:val="000000"/>
                <w:kern w:val="0"/>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1F38540F" w14:textId="77777777" w:rsidR="00E93636" w:rsidRPr="00E93636" w:rsidRDefault="00E93636" w:rsidP="00E93636">
            <w:pPr>
              <w:autoSpaceDE w:val="0"/>
              <w:autoSpaceDN w:val="0"/>
              <w:adjustRightInd w:val="0"/>
              <w:spacing w:line="320" w:lineRule="atLeast"/>
              <w:ind w:left="60" w:right="60"/>
              <w:jc w:val="right"/>
              <w:rPr>
                <w:rFonts w:ascii="Arial" w:hAnsi="Arial" w:cs="Arial"/>
                <w:color w:val="000000"/>
                <w:kern w:val="0"/>
                <w:sz w:val="18"/>
                <w:szCs w:val="18"/>
              </w:rPr>
            </w:pPr>
            <w:r w:rsidRPr="00E93636">
              <w:rPr>
                <w:rFonts w:ascii="Arial" w:hAnsi="Arial" w:cs="Arial"/>
                <w:color w:val="000000"/>
                <w:kern w:val="0"/>
                <w:sz w:val="18"/>
                <w:szCs w:val="18"/>
              </w:rPr>
              <w:t>100</w:t>
            </w:r>
          </w:p>
        </w:tc>
        <w:tc>
          <w:tcPr>
            <w:tcW w:w="1029" w:type="dxa"/>
            <w:tcBorders>
              <w:top w:val="nil"/>
              <w:bottom w:val="single" w:sz="16" w:space="0" w:color="000000"/>
            </w:tcBorders>
            <w:shd w:val="clear" w:color="auto" w:fill="FFFFFF"/>
            <w:vAlign w:val="center"/>
          </w:tcPr>
          <w:p w14:paraId="4EFD8B4E" w14:textId="77777777" w:rsidR="00E93636" w:rsidRPr="00E93636" w:rsidRDefault="00E93636" w:rsidP="00E93636">
            <w:pPr>
              <w:autoSpaceDE w:val="0"/>
              <w:autoSpaceDN w:val="0"/>
              <w:adjustRightInd w:val="0"/>
              <w:spacing w:line="320" w:lineRule="atLeast"/>
              <w:ind w:left="60" w:right="60"/>
              <w:jc w:val="right"/>
              <w:rPr>
                <w:rFonts w:ascii="Arial" w:hAnsi="Arial" w:cs="Arial"/>
                <w:color w:val="000000"/>
                <w:kern w:val="0"/>
                <w:sz w:val="18"/>
                <w:szCs w:val="18"/>
              </w:rPr>
            </w:pPr>
            <w:r w:rsidRPr="00E93636">
              <w:rPr>
                <w:rFonts w:ascii="Arial" w:hAnsi="Arial" w:cs="Arial"/>
                <w:color w:val="000000"/>
                <w:kern w:val="0"/>
                <w:sz w:val="18"/>
                <w:szCs w:val="18"/>
              </w:rPr>
              <w:t>100.0</w:t>
            </w:r>
          </w:p>
        </w:tc>
        <w:tc>
          <w:tcPr>
            <w:tcW w:w="1398" w:type="dxa"/>
            <w:tcBorders>
              <w:top w:val="nil"/>
              <w:bottom w:val="single" w:sz="16" w:space="0" w:color="000000"/>
            </w:tcBorders>
            <w:shd w:val="clear" w:color="auto" w:fill="FFFFFF"/>
            <w:vAlign w:val="center"/>
          </w:tcPr>
          <w:p w14:paraId="6FD61097" w14:textId="77777777" w:rsidR="00E93636" w:rsidRPr="00E93636" w:rsidRDefault="00E93636" w:rsidP="00E93636">
            <w:pPr>
              <w:autoSpaceDE w:val="0"/>
              <w:autoSpaceDN w:val="0"/>
              <w:adjustRightInd w:val="0"/>
              <w:spacing w:line="320" w:lineRule="atLeast"/>
              <w:ind w:left="60" w:right="60"/>
              <w:jc w:val="right"/>
              <w:rPr>
                <w:rFonts w:ascii="Arial" w:hAnsi="Arial" w:cs="Arial"/>
                <w:color w:val="000000"/>
                <w:kern w:val="0"/>
                <w:sz w:val="18"/>
                <w:szCs w:val="18"/>
              </w:rPr>
            </w:pPr>
            <w:r w:rsidRPr="00E93636">
              <w:rPr>
                <w:rFonts w:ascii="Arial" w:hAnsi="Arial" w:cs="Arial"/>
                <w:color w:val="000000"/>
                <w:kern w:val="0"/>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02476838" w14:textId="77777777" w:rsidR="00E93636" w:rsidRPr="00E93636" w:rsidRDefault="00E93636" w:rsidP="00E93636">
            <w:pPr>
              <w:autoSpaceDE w:val="0"/>
              <w:autoSpaceDN w:val="0"/>
              <w:adjustRightInd w:val="0"/>
              <w:spacing w:line="240" w:lineRule="auto"/>
              <w:jc w:val="left"/>
              <w:rPr>
                <w:rFonts w:ascii="Times New Roman" w:hAnsi="Times New Roman" w:cs="Times New Roman"/>
                <w:kern w:val="0"/>
                <w:sz w:val="24"/>
                <w:szCs w:val="24"/>
              </w:rPr>
            </w:pPr>
          </w:p>
        </w:tc>
      </w:tr>
    </w:tbl>
    <w:p w14:paraId="309FF4F9" w14:textId="77777777" w:rsidR="008B4161" w:rsidRDefault="008B4161" w:rsidP="008B4161">
      <w:pPr>
        <w:autoSpaceDE w:val="0"/>
        <w:autoSpaceDN w:val="0"/>
        <w:adjustRightInd w:val="0"/>
        <w:spacing w:line="240" w:lineRule="auto"/>
        <w:jc w:val="left"/>
        <w:rPr>
          <w:rFonts w:ascii="Times New Roman" w:hAnsi="Times New Roman" w:cs="Times New Roman"/>
          <w:kern w:val="0"/>
          <w:sz w:val="24"/>
          <w:szCs w:val="24"/>
        </w:rPr>
      </w:pPr>
    </w:p>
    <w:p w14:paraId="10241DEC" w14:textId="77777777" w:rsidR="00F4446E" w:rsidRDefault="00F4446E" w:rsidP="008B4161">
      <w:pPr>
        <w:autoSpaceDE w:val="0"/>
        <w:autoSpaceDN w:val="0"/>
        <w:adjustRightInd w:val="0"/>
        <w:spacing w:line="240" w:lineRule="auto"/>
        <w:jc w:val="left"/>
        <w:rPr>
          <w:rFonts w:ascii="Times New Roman" w:hAnsi="Times New Roman" w:cs="Times New Roman"/>
          <w:kern w:val="0"/>
          <w:sz w:val="24"/>
          <w:szCs w:val="24"/>
        </w:rPr>
      </w:pPr>
    </w:p>
    <w:p w14:paraId="38F4201D" w14:textId="2104E825" w:rsidR="00A93180" w:rsidRDefault="00A93180" w:rsidP="008B4161">
      <w:pPr>
        <w:autoSpaceDE w:val="0"/>
        <w:autoSpaceDN w:val="0"/>
        <w:adjustRightInd w:val="0"/>
        <w:spacing w:line="240" w:lineRule="auto"/>
        <w:jc w:val="left"/>
        <w:rPr>
          <w:rFonts w:ascii="Times New Roman" w:hAnsi="Times New Roman" w:cs="Times New Roman"/>
          <w:kern w:val="0"/>
          <w:sz w:val="24"/>
          <w:szCs w:val="24"/>
        </w:rPr>
      </w:pPr>
    </w:p>
    <w:p w14:paraId="0880C976" w14:textId="77777777" w:rsidR="00A93180" w:rsidRDefault="00A93180" w:rsidP="008B4161">
      <w:pPr>
        <w:autoSpaceDE w:val="0"/>
        <w:autoSpaceDN w:val="0"/>
        <w:adjustRightInd w:val="0"/>
        <w:spacing w:line="240" w:lineRule="auto"/>
        <w:jc w:val="left"/>
        <w:rPr>
          <w:rFonts w:ascii="Times New Roman" w:hAnsi="Times New Roman" w:cs="Times New Roman"/>
          <w:kern w:val="0"/>
          <w:sz w:val="24"/>
          <w:szCs w:val="24"/>
        </w:rPr>
      </w:pPr>
    </w:p>
    <w:p w14:paraId="7F884314" w14:textId="1474D81B" w:rsidR="00713FAC" w:rsidRDefault="00A93180" w:rsidP="0015047F">
      <w:pPr>
        <w:autoSpaceDE w:val="0"/>
        <w:autoSpaceDN w:val="0"/>
        <w:adjustRightInd w:val="0"/>
        <w:spacing w:line="480" w:lineRule="auto"/>
        <w:jc w:val="left"/>
        <w:rPr>
          <w:rFonts w:ascii="Times New Roman" w:hAnsi="Times New Roman" w:cs="Times New Roman"/>
          <w:kern w:val="0"/>
          <w:sz w:val="24"/>
          <w:szCs w:val="24"/>
        </w:rPr>
      </w:pPr>
      <w:r>
        <w:rPr>
          <w:rFonts w:ascii="Times New Roman" w:hAnsi="Times New Roman" w:cs="Times New Roman"/>
          <w:kern w:val="0"/>
          <w:sz w:val="24"/>
          <w:szCs w:val="24"/>
        </w:rPr>
        <w:lastRenderedPageBreak/>
        <w:t>The data reveals an overwhelming consensus among respondents regarding challenges in addressing gender-related issues in their work. A striking 97% of participants reported facing obstacles such as lack of resources or cultural resistance, while only 3% indicated no such difficulties. This near-universal experience of challenges underscores significant systemic or environmental barriers within the context being studied. The extreme skew in responses suggests that encountering hurdles in gender-related work is not an exception but a widespread reality for this group. Quantitatively, the strength of this finding (97%) highlights its critical relevance to the research, implying that factors like resource constraints or cultural pushback may fundamentally shape how gender initiatives are implemented in this setting. However, while the presence of challenges is clearly established, the data does not specify the severity, frequency, or specific types of obstacles encountered. This limitation indicates a need for further qualitative investigation to understand the nuanced nature of these barriers. Nonetheless, this result strongly signals that addressing gender-related issues in this population’s work environment is consistently met with significant difficulties, making it a central consideration for any interventions or policy recommendations arising from the study. The very low “no” response rate (3%) further reinforces the pervasiveness of this experience within the sample.</w:t>
      </w:r>
    </w:p>
    <w:p w14:paraId="59593010" w14:textId="77777777" w:rsidR="00CC59EE" w:rsidRDefault="00CC59EE" w:rsidP="008B4161">
      <w:pPr>
        <w:autoSpaceDE w:val="0"/>
        <w:autoSpaceDN w:val="0"/>
        <w:adjustRightInd w:val="0"/>
        <w:spacing w:line="240" w:lineRule="auto"/>
        <w:jc w:val="left"/>
        <w:rPr>
          <w:rFonts w:ascii="Times New Roman" w:hAnsi="Times New Roman" w:cs="Times New Roman"/>
          <w:kern w:val="0"/>
          <w:sz w:val="24"/>
          <w:szCs w:val="24"/>
        </w:rPr>
      </w:pPr>
    </w:p>
    <w:p w14:paraId="03386311" w14:textId="77777777" w:rsidR="00CC59EE" w:rsidRPr="008B4161" w:rsidRDefault="00CC59EE" w:rsidP="008B4161">
      <w:pPr>
        <w:autoSpaceDE w:val="0"/>
        <w:autoSpaceDN w:val="0"/>
        <w:adjustRightInd w:val="0"/>
        <w:spacing w:line="240" w:lineRule="auto"/>
        <w:jc w:val="left"/>
        <w:rPr>
          <w:rFonts w:ascii="Times New Roman" w:hAnsi="Times New Roman" w:cs="Times New Roman"/>
          <w:kern w:val="0"/>
          <w:sz w:val="24"/>
          <w:szCs w:val="24"/>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8B4161" w:rsidRPr="008B4161" w14:paraId="403F4029" w14:textId="77777777">
        <w:trPr>
          <w:cantSplit/>
        </w:trPr>
        <w:tc>
          <w:tcPr>
            <w:tcW w:w="6544" w:type="dxa"/>
            <w:gridSpan w:val="6"/>
            <w:tcBorders>
              <w:top w:val="nil"/>
              <w:left w:val="nil"/>
              <w:bottom w:val="nil"/>
              <w:right w:val="nil"/>
            </w:tcBorders>
            <w:shd w:val="clear" w:color="auto" w:fill="FFFFFF"/>
            <w:vAlign w:val="center"/>
          </w:tcPr>
          <w:p w14:paraId="0385D4BE" w14:textId="77777777" w:rsidR="008B4161" w:rsidRPr="008B4161" w:rsidRDefault="008B4161" w:rsidP="008B4161">
            <w:pPr>
              <w:autoSpaceDE w:val="0"/>
              <w:autoSpaceDN w:val="0"/>
              <w:adjustRightInd w:val="0"/>
              <w:spacing w:line="320" w:lineRule="atLeast"/>
              <w:ind w:left="60" w:right="60"/>
              <w:jc w:val="center"/>
              <w:rPr>
                <w:rFonts w:ascii="Arial" w:hAnsi="Arial" w:cs="Arial"/>
                <w:color w:val="000000"/>
                <w:kern w:val="0"/>
                <w:sz w:val="18"/>
                <w:szCs w:val="18"/>
              </w:rPr>
            </w:pPr>
            <w:r w:rsidRPr="008B4161">
              <w:rPr>
                <w:rFonts w:ascii="Arial" w:hAnsi="Arial" w:cs="Arial"/>
                <w:b/>
                <w:bCs/>
                <w:color w:val="000000"/>
                <w:kern w:val="0"/>
                <w:sz w:val="18"/>
                <w:szCs w:val="18"/>
              </w:rPr>
              <w:t>11. Are you aware of the common forms of gender-based violence (e.g., domestic abuse, sexual violence, coercive control) in your community?</w:t>
            </w:r>
          </w:p>
        </w:tc>
      </w:tr>
      <w:tr w:rsidR="008B4161" w:rsidRPr="008B4161" w14:paraId="77D7A506" w14:textId="77777777">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558D3524" w14:textId="77777777" w:rsidR="008B4161" w:rsidRPr="008B4161" w:rsidRDefault="008B4161" w:rsidP="008B4161">
            <w:pPr>
              <w:autoSpaceDE w:val="0"/>
              <w:autoSpaceDN w:val="0"/>
              <w:adjustRightInd w:val="0"/>
              <w:spacing w:line="240" w:lineRule="auto"/>
              <w:jc w:val="left"/>
              <w:rPr>
                <w:rFonts w:ascii="Times New Roman" w:hAnsi="Times New Roman" w:cs="Times New Roman"/>
                <w:kern w:val="0"/>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14:paraId="253C9486" w14:textId="77777777" w:rsidR="008B4161" w:rsidRPr="008B4161" w:rsidRDefault="008B4161" w:rsidP="008B4161">
            <w:pPr>
              <w:autoSpaceDE w:val="0"/>
              <w:autoSpaceDN w:val="0"/>
              <w:adjustRightInd w:val="0"/>
              <w:spacing w:line="320" w:lineRule="atLeast"/>
              <w:ind w:left="60" w:right="60"/>
              <w:jc w:val="center"/>
              <w:rPr>
                <w:rFonts w:ascii="Arial" w:hAnsi="Arial" w:cs="Arial"/>
                <w:color w:val="000000"/>
                <w:kern w:val="0"/>
                <w:sz w:val="18"/>
                <w:szCs w:val="18"/>
              </w:rPr>
            </w:pPr>
            <w:r w:rsidRPr="008B4161">
              <w:rPr>
                <w:rFonts w:ascii="Arial" w:hAnsi="Arial" w:cs="Arial"/>
                <w:color w:val="000000"/>
                <w:kern w:val="0"/>
                <w:sz w:val="18"/>
                <w:szCs w:val="18"/>
              </w:rPr>
              <w:t>Frequency</w:t>
            </w:r>
          </w:p>
        </w:tc>
        <w:tc>
          <w:tcPr>
            <w:tcW w:w="1029" w:type="dxa"/>
            <w:tcBorders>
              <w:top w:val="single" w:sz="16" w:space="0" w:color="000000"/>
              <w:bottom w:val="single" w:sz="16" w:space="0" w:color="000000"/>
            </w:tcBorders>
            <w:shd w:val="clear" w:color="auto" w:fill="FFFFFF"/>
            <w:vAlign w:val="bottom"/>
          </w:tcPr>
          <w:p w14:paraId="201AA87B" w14:textId="77777777" w:rsidR="008B4161" w:rsidRPr="008B4161" w:rsidRDefault="008B4161" w:rsidP="008B4161">
            <w:pPr>
              <w:autoSpaceDE w:val="0"/>
              <w:autoSpaceDN w:val="0"/>
              <w:adjustRightInd w:val="0"/>
              <w:spacing w:line="320" w:lineRule="atLeast"/>
              <w:ind w:left="60" w:right="60"/>
              <w:jc w:val="center"/>
              <w:rPr>
                <w:rFonts w:ascii="Arial" w:hAnsi="Arial" w:cs="Arial"/>
                <w:color w:val="000000"/>
                <w:kern w:val="0"/>
                <w:sz w:val="18"/>
                <w:szCs w:val="18"/>
              </w:rPr>
            </w:pPr>
            <w:r w:rsidRPr="008B4161">
              <w:rPr>
                <w:rFonts w:ascii="Arial" w:hAnsi="Arial" w:cs="Arial"/>
                <w:color w:val="000000"/>
                <w:kern w:val="0"/>
                <w:sz w:val="18"/>
                <w:szCs w:val="18"/>
              </w:rPr>
              <w:t>Percent</w:t>
            </w:r>
          </w:p>
        </w:tc>
        <w:tc>
          <w:tcPr>
            <w:tcW w:w="1398" w:type="dxa"/>
            <w:tcBorders>
              <w:top w:val="single" w:sz="16" w:space="0" w:color="000000"/>
              <w:bottom w:val="single" w:sz="16" w:space="0" w:color="000000"/>
            </w:tcBorders>
            <w:shd w:val="clear" w:color="auto" w:fill="FFFFFF"/>
            <w:vAlign w:val="bottom"/>
          </w:tcPr>
          <w:p w14:paraId="39BE3B52" w14:textId="77777777" w:rsidR="008B4161" w:rsidRPr="008B4161" w:rsidRDefault="008B4161" w:rsidP="008B4161">
            <w:pPr>
              <w:autoSpaceDE w:val="0"/>
              <w:autoSpaceDN w:val="0"/>
              <w:adjustRightInd w:val="0"/>
              <w:spacing w:line="320" w:lineRule="atLeast"/>
              <w:ind w:left="60" w:right="60"/>
              <w:jc w:val="center"/>
              <w:rPr>
                <w:rFonts w:ascii="Arial" w:hAnsi="Arial" w:cs="Arial"/>
                <w:color w:val="000000"/>
                <w:kern w:val="0"/>
                <w:sz w:val="18"/>
                <w:szCs w:val="18"/>
              </w:rPr>
            </w:pPr>
            <w:r w:rsidRPr="008B4161">
              <w:rPr>
                <w:rFonts w:ascii="Arial" w:hAnsi="Arial" w:cs="Arial"/>
                <w:color w:val="000000"/>
                <w:kern w:val="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51F67AF3" w14:textId="77777777" w:rsidR="008B4161" w:rsidRPr="008B4161" w:rsidRDefault="008B4161" w:rsidP="008B4161">
            <w:pPr>
              <w:autoSpaceDE w:val="0"/>
              <w:autoSpaceDN w:val="0"/>
              <w:adjustRightInd w:val="0"/>
              <w:spacing w:line="320" w:lineRule="atLeast"/>
              <w:ind w:left="60" w:right="60"/>
              <w:jc w:val="center"/>
              <w:rPr>
                <w:rFonts w:ascii="Arial" w:hAnsi="Arial" w:cs="Arial"/>
                <w:color w:val="000000"/>
                <w:kern w:val="0"/>
                <w:sz w:val="18"/>
                <w:szCs w:val="18"/>
              </w:rPr>
            </w:pPr>
            <w:r w:rsidRPr="008B4161">
              <w:rPr>
                <w:rFonts w:ascii="Arial" w:hAnsi="Arial" w:cs="Arial"/>
                <w:color w:val="000000"/>
                <w:kern w:val="0"/>
                <w:sz w:val="18"/>
                <w:szCs w:val="18"/>
              </w:rPr>
              <w:t>Cumulative Percent</w:t>
            </w:r>
          </w:p>
        </w:tc>
      </w:tr>
      <w:tr w:rsidR="008B4161" w:rsidRPr="008B4161" w14:paraId="348E2E37" w14:textId="77777777">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26E2D4D6" w14:textId="77777777" w:rsidR="008B4161" w:rsidRPr="008B4161" w:rsidRDefault="008B4161" w:rsidP="008B4161">
            <w:pPr>
              <w:autoSpaceDE w:val="0"/>
              <w:autoSpaceDN w:val="0"/>
              <w:adjustRightInd w:val="0"/>
              <w:spacing w:line="320" w:lineRule="atLeast"/>
              <w:ind w:left="60" w:right="60"/>
              <w:jc w:val="left"/>
              <w:rPr>
                <w:rFonts w:ascii="Arial" w:hAnsi="Arial" w:cs="Arial"/>
                <w:color w:val="000000"/>
                <w:kern w:val="0"/>
                <w:sz w:val="18"/>
                <w:szCs w:val="18"/>
              </w:rPr>
            </w:pPr>
            <w:r w:rsidRPr="008B4161">
              <w:rPr>
                <w:rFonts w:ascii="Arial" w:hAnsi="Arial" w:cs="Arial"/>
                <w:color w:val="000000"/>
                <w:kern w:val="0"/>
                <w:sz w:val="18"/>
                <w:szCs w:val="18"/>
              </w:rPr>
              <w:t>Valid</w:t>
            </w:r>
          </w:p>
        </w:tc>
        <w:tc>
          <w:tcPr>
            <w:tcW w:w="737" w:type="dxa"/>
            <w:tcBorders>
              <w:top w:val="single" w:sz="16" w:space="0" w:color="000000"/>
              <w:left w:val="nil"/>
              <w:bottom w:val="nil"/>
              <w:right w:val="single" w:sz="16" w:space="0" w:color="000000"/>
            </w:tcBorders>
            <w:shd w:val="clear" w:color="auto" w:fill="FFFFFF"/>
          </w:tcPr>
          <w:p w14:paraId="670BE0BE" w14:textId="77777777" w:rsidR="008B4161" w:rsidRPr="008B4161" w:rsidRDefault="008B4161" w:rsidP="008B4161">
            <w:pPr>
              <w:autoSpaceDE w:val="0"/>
              <w:autoSpaceDN w:val="0"/>
              <w:adjustRightInd w:val="0"/>
              <w:spacing w:line="320" w:lineRule="atLeast"/>
              <w:ind w:left="60" w:right="60"/>
              <w:jc w:val="left"/>
              <w:rPr>
                <w:rFonts w:ascii="Arial" w:hAnsi="Arial" w:cs="Arial"/>
                <w:color w:val="000000"/>
                <w:kern w:val="0"/>
                <w:sz w:val="18"/>
                <w:szCs w:val="18"/>
              </w:rPr>
            </w:pPr>
            <w:r w:rsidRPr="008B4161">
              <w:rPr>
                <w:rFonts w:ascii="Arial" w:hAnsi="Arial" w:cs="Arial"/>
                <w:color w:val="000000"/>
                <w:kern w:val="0"/>
                <w:sz w:val="18"/>
                <w:szCs w:val="18"/>
              </w:rPr>
              <w:t>No</w:t>
            </w:r>
          </w:p>
        </w:tc>
        <w:tc>
          <w:tcPr>
            <w:tcW w:w="1168" w:type="dxa"/>
            <w:tcBorders>
              <w:top w:val="single" w:sz="16" w:space="0" w:color="000000"/>
              <w:left w:val="single" w:sz="16" w:space="0" w:color="000000"/>
              <w:bottom w:val="nil"/>
            </w:tcBorders>
            <w:shd w:val="clear" w:color="auto" w:fill="FFFFFF"/>
            <w:vAlign w:val="center"/>
          </w:tcPr>
          <w:p w14:paraId="4DB9D268" w14:textId="77777777" w:rsidR="008B4161" w:rsidRPr="008B4161" w:rsidRDefault="008B4161" w:rsidP="008B4161">
            <w:pPr>
              <w:autoSpaceDE w:val="0"/>
              <w:autoSpaceDN w:val="0"/>
              <w:adjustRightInd w:val="0"/>
              <w:spacing w:line="320" w:lineRule="atLeast"/>
              <w:ind w:left="60" w:right="60"/>
              <w:jc w:val="right"/>
              <w:rPr>
                <w:rFonts w:ascii="Arial" w:hAnsi="Arial" w:cs="Arial"/>
                <w:color w:val="000000"/>
                <w:kern w:val="0"/>
                <w:sz w:val="18"/>
                <w:szCs w:val="18"/>
              </w:rPr>
            </w:pPr>
            <w:r w:rsidRPr="008B4161">
              <w:rPr>
                <w:rFonts w:ascii="Arial" w:hAnsi="Arial" w:cs="Arial"/>
                <w:color w:val="000000"/>
                <w:kern w:val="0"/>
                <w:sz w:val="18"/>
                <w:szCs w:val="18"/>
              </w:rPr>
              <w:t>1</w:t>
            </w:r>
          </w:p>
        </w:tc>
        <w:tc>
          <w:tcPr>
            <w:tcW w:w="1029" w:type="dxa"/>
            <w:tcBorders>
              <w:top w:val="single" w:sz="16" w:space="0" w:color="000000"/>
              <w:bottom w:val="nil"/>
            </w:tcBorders>
            <w:shd w:val="clear" w:color="auto" w:fill="FFFFFF"/>
            <w:vAlign w:val="center"/>
          </w:tcPr>
          <w:p w14:paraId="6CC9C382" w14:textId="77777777" w:rsidR="008B4161" w:rsidRPr="008B4161" w:rsidRDefault="008B4161" w:rsidP="008B4161">
            <w:pPr>
              <w:autoSpaceDE w:val="0"/>
              <w:autoSpaceDN w:val="0"/>
              <w:adjustRightInd w:val="0"/>
              <w:spacing w:line="320" w:lineRule="atLeast"/>
              <w:ind w:left="60" w:right="60"/>
              <w:jc w:val="right"/>
              <w:rPr>
                <w:rFonts w:ascii="Arial" w:hAnsi="Arial" w:cs="Arial"/>
                <w:color w:val="000000"/>
                <w:kern w:val="0"/>
                <w:sz w:val="18"/>
                <w:szCs w:val="18"/>
              </w:rPr>
            </w:pPr>
            <w:r w:rsidRPr="008B4161">
              <w:rPr>
                <w:rFonts w:ascii="Arial" w:hAnsi="Arial" w:cs="Arial"/>
                <w:color w:val="000000"/>
                <w:kern w:val="0"/>
                <w:sz w:val="18"/>
                <w:szCs w:val="18"/>
              </w:rPr>
              <w:t>1.0</w:t>
            </w:r>
          </w:p>
        </w:tc>
        <w:tc>
          <w:tcPr>
            <w:tcW w:w="1398" w:type="dxa"/>
            <w:tcBorders>
              <w:top w:val="single" w:sz="16" w:space="0" w:color="000000"/>
              <w:bottom w:val="nil"/>
            </w:tcBorders>
            <w:shd w:val="clear" w:color="auto" w:fill="FFFFFF"/>
            <w:vAlign w:val="center"/>
          </w:tcPr>
          <w:p w14:paraId="135E495E" w14:textId="77777777" w:rsidR="008B4161" w:rsidRPr="008B4161" w:rsidRDefault="008B4161" w:rsidP="008B4161">
            <w:pPr>
              <w:autoSpaceDE w:val="0"/>
              <w:autoSpaceDN w:val="0"/>
              <w:adjustRightInd w:val="0"/>
              <w:spacing w:line="320" w:lineRule="atLeast"/>
              <w:ind w:left="60" w:right="60"/>
              <w:jc w:val="right"/>
              <w:rPr>
                <w:rFonts w:ascii="Arial" w:hAnsi="Arial" w:cs="Arial"/>
                <w:color w:val="000000"/>
                <w:kern w:val="0"/>
                <w:sz w:val="18"/>
                <w:szCs w:val="18"/>
              </w:rPr>
            </w:pPr>
            <w:r w:rsidRPr="008B4161">
              <w:rPr>
                <w:rFonts w:ascii="Arial" w:hAnsi="Arial" w:cs="Arial"/>
                <w:color w:val="000000"/>
                <w:kern w:val="0"/>
                <w:sz w:val="18"/>
                <w:szCs w:val="18"/>
              </w:rPr>
              <w:t>1.0</w:t>
            </w:r>
          </w:p>
        </w:tc>
        <w:tc>
          <w:tcPr>
            <w:tcW w:w="1475" w:type="dxa"/>
            <w:tcBorders>
              <w:top w:val="single" w:sz="16" w:space="0" w:color="000000"/>
              <w:bottom w:val="nil"/>
              <w:right w:val="single" w:sz="16" w:space="0" w:color="000000"/>
            </w:tcBorders>
            <w:shd w:val="clear" w:color="auto" w:fill="FFFFFF"/>
            <w:vAlign w:val="center"/>
          </w:tcPr>
          <w:p w14:paraId="2331476F" w14:textId="77777777" w:rsidR="008B4161" w:rsidRPr="008B4161" w:rsidRDefault="008B4161" w:rsidP="008B4161">
            <w:pPr>
              <w:autoSpaceDE w:val="0"/>
              <w:autoSpaceDN w:val="0"/>
              <w:adjustRightInd w:val="0"/>
              <w:spacing w:line="320" w:lineRule="atLeast"/>
              <w:ind w:left="60" w:right="60"/>
              <w:jc w:val="right"/>
              <w:rPr>
                <w:rFonts w:ascii="Arial" w:hAnsi="Arial" w:cs="Arial"/>
                <w:color w:val="000000"/>
                <w:kern w:val="0"/>
                <w:sz w:val="18"/>
                <w:szCs w:val="18"/>
              </w:rPr>
            </w:pPr>
            <w:r w:rsidRPr="008B4161">
              <w:rPr>
                <w:rFonts w:ascii="Arial" w:hAnsi="Arial" w:cs="Arial"/>
                <w:color w:val="000000"/>
                <w:kern w:val="0"/>
                <w:sz w:val="18"/>
                <w:szCs w:val="18"/>
              </w:rPr>
              <w:t>1.0</w:t>
            </w:r>
          </w:p>
        </w:tc>
      </w:tr>
      <w:tr w:rsidR="008B4161" w:rsidRPr="008B4161" w14:paraId="3D2E0A75"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D8FB2FF" w14:textId="77777777" w:rsidR="008B4161" w:rsidRPr="008B4161" w:rsidRDefault="008B4161" w:rsidP="008B4161">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nil"/>
              <w:right w:val="single" w:sz="16" w:space="0" w:color="000000"/>
            </w:tcBorders>
            <w:shd w:val="clear" w:color="auto" w:fill="FFFFFF"/>
          </w:tcPr>
          <w:p w14:paraId="1CD2B143" w14:textId="77777777" w:rsidR="008B4161" w:rsidRPr="008B4161" w:rsidRDefault="008B4161" w:rsidP="008B4161">
            <w:pPr>
              <w:autoSpaceDE w:val="0"/>
              <w:autoSpaceDN w:val="0"/>
              <w:adjustRightInd w:val="0"/>
              <w:spacing w:line="320" w:lineRule="atLeast"/>
              <w:ind w:left="60" w:right="60"/>
              <w:jc w:val="left"/>
              <w:rPr>
                <w:rFonts w:ascii="Arial" w:hAnsi="Arial" w:cs="Arial"/>
                <w:color w:val="000000"/>
                <w:kern w:val="0"/>
                <w:sz w:val="18"/>
                <w:szCs w:val="18"/>
              </w:rPr>
            </w:pPr>
            <w:r w:rsidRPr="008B4161">
              <w:rPr>
                <w:rFonts w:ascii="Arial" w:hAnsi="Arial" w:cs="Arial"/>
                <w:color w:val="000000"/>
                <w:kern w:val="0"/>
                <w:sz w:val="18"/>
                <w:szCs w:val="18"/>
              </w:rPr>
              <w:t>Yes</w:t>
            </w:r>
          </w:p>
        </w:tc>
        <w:tc>
          <w:tcPr>
            <w:tcW w:w="1168" w:type="dxa"/>
            <w:tcBorders>
              <w:top w:val="nil"/>
              <w:left w:val="single" w:sz="16" w:space="0" w:color="000000"/>
              <w:bottom w:val="nil"/>
            </w:tcBorders>
            <w:shd w:val="clear" w:color="auto" w:fill="FFFFFF"/>
            <w:vAlign w:val="center"/>
          </w:tcPr>
          <w:p w14:paraId="59E71BE6" w14:textId="77777777" w:rsidR="008B4161" w:rsidRPr="008B4161" w:rsidRDefault="008B4161" w:rsidP="008B4161">
            <w:pPr>
              <w:autoSpaceDE w:val="0"/>
              <w:autoSpaceDN w:val="0"/>
              <w:adjustRightInd w:val="0"/>
              <w:spacing w:line="320" w:lineRule="atLeast"/>
              <w:ind w:left="60" w:right="60"/>
              <w:jc w:val="right"/>
              <w:rPr>
                <w:rFonts w:ascii="Arial" w:hAnsi="Arial" w:cs="Arial"/>
                <w:color w:val="000000"/>
                <w:kern w:val="0"/>
                <w:sz w:val="18"/>
                <w:szCs w:val="18"/>
              </w:rPr>
            </w:pPr>
            <w:r w:rsidRPr="008B4161">
              <w:rPr>
                <w:rFonts w:ascii="Arial" w:hAnsi="Arial" w:cs="Arial"/>
                <w:color w:val="000000"/>
                <w:kern w:val="0"/>
                <w:sz w:val="18"/>
                <w:szCs w:val="18"/>
              </w:rPr>
              <w:t>99</w:t>
            </w:r>
          </w:p>
        </w:tc>
        <w:tc>
          <w:tcPr>
            <w:tcW w:w="1029" w:type="dxa"/>
            <w:tcBorders>
              <w:top w:val="nil"/>
              <w:bottom w:val="nil"/>
            </w:tcBorders>
            <w:shd w:val="clear" w:color="auto" w:fill="FFFFFF"/>
            <w:vAlign w:val="center"/>
          </w:tcPr>
          <w:p w14:paraId="1226281D" w14:textId="77777777" w:rsidR="008B4161" w:rsidRPr="008B4161" w:rsidRDefault="008B4161" w:rsidP="008B4161">
            <w:pPr>
              <w:autoSpaceDE w:val="0"/>
              <w:autoSpaceDN w:val="0"/>
              <w:adjustRightInd w:val="0"/>
              <w:spacing w:line="320" w:lineRule="atLeast"/>
              <w:ind w:left="60" w:right="60"/>
              <w:jc w:val="right"/>
              <w:rPr>
                <w:rFonts w:ascii="Arial" w:hAnsi="Arial" w:cs="Arial"/>
                <w:color w:val="000000"/>
                <w:kern w:val="0"/>
                <w:sz w:val="18"/>
                <w:szCs w:val="18"/>
              </w:rPr>
            </w:pPr>
            <w:r w:rsidRPr="008B4161">
              <w:rPr>
                <w:rFonts w:ascii="Arial" w:hAnsi="Arial" w:cs="Arial"/>
                <w:color w:val="000000"/>
                <w:kern w:val="0"/>
                <w:sz w:val="18"/>
                <w:szCs w:val="18"/>
              </w:rPr>
              <w:t>99.0</w:t>
            </w:r>
          </w:p>
        </w:tc>
        <w:tc>
          <w:tcPr>
            <w:tcW w:w="1398" w:type="dxa"/>
            <w:tcBorders>
              <w:top w:val="nil"/>
              <w:bottom w:val="nil"/>
            </w:tcBorders>
            <w:shd w:val="clear" w:color="auto" w:fill="FFFFFF"/>
            <w:vAlign w:val="center"/>
          </w:tcPr>
          <w:p w14:paraId="5CDDA70B" w14:textId="77777777" w:rsidR="008B4161" w:rsidRPr="008B4161" w:rsidRDefault="008B4161" w:rsidP="008B4161">
            <w:pPr>
              <w:autoSpaceDE w:val="0"/>
              <w:autoSpaceDN w:val="0"/>
              <w:adjustRightInd w:val="0"/>
              <w:spacing w:line="320" w:lineRule="atLeast"/>
              <w:ind w:left="60" w:right="60"/>
              <w:jc w:val="right"/>
              <w:rPr>
                <w:rFonts w:ascii="Arial" w:hAnsi="Arial" w:cs="Arial"/>
                <w:color w:val="000000"/>
                <w:kern w:val="0"/>
                <w:sz w:val="18"/>
                <w:szCs w:val="18"/>
              </w:rPr>
            </w:pPr>
            <w:r w:rsidRPr="008B4161">
              <w:rPr>
                <w:rFonts w:ascii="Arial" w:hAnsi="Arial" w:cs="Arial"/>
                <w:color w:val="000000"/>
                <w:kern w:val="0"/>
                <w:sz w:val="18"/>
                <w:szCs w:val="18"/>
              </w:rPr>
              <w:t>99.0</w:t>
            </w:r>
          </w:p>
        </w:tc>
        <w:tc>
          <w:tcPr>
            <w:tcW w:w="1475" w:type="dxa"/>
            <w:tcBorders>
              <w:top w:val="nil"/>
              <w:bottom w:val="nil"/>
              <w:right w:val="single" w:sz="16" w:space="0" w:color="000000"/>
            </w:tcBorders>
            <w:shd w:val="clear" w:color="auto" w:fill="FFFFFF"/>
            <w:vAlign w:val="center"/>
          </w:tcPr>
          <w:p w14:paraId="3E5E27EA" w14:textId="77777777" w:rsidR="008B4161" w:rsidRPr="008B4161" w:rsidRDefault="008B4161" w:rsidP="008B4161">
            <w:pPr>
              <w:autoSpaceDE w:val="0"/>
              <w:autoSpaceDN w:val="0"/>
              <w:adjustRightInd w:val="0"/>
              <w:spacing w:line="320" w:lineRule="atLeast"/>
              <w:ind w:left="60" w:right="60"/>
              <w:jc w:val="right"/>
              <w:rPr>
                <w:rFonts w:ascii="Arial" w:hAnsi="Arial" w:cs="Arial"/>
                <w:color w:val="000000"/>
                <w:kern w:val="0"/>
                <w:sz w:val="18"/>
                <w:szCs w:val="18"/>
              </w:rPr>
            </w:pPr>
            <w:r w:rsidRPr="008B4161">
              <w:rPr>
                <w:rFonts w:ascii="Arial" w:hAnsi="Arial" w:cs="Arial"/>
                <w:color w:val="000000"/>
                <w:kern w:val="0"/>
                <w:sz w:val="18"/>
                <w:szCs w:val="18"/>
              </w:rPr>
              <w:t>100.0</w:t>
            </w:r>
          </w:p>
        </w:tc>
      </w:tr>
      <w:tr w:rsidR="008B4161" w:rsidRPr="008B4161" w14:paraId="33A742E5"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A540B2A" w14:textId="77777777" w:rsidR="008B4161" w:rsidRPr="008B4161" w:rsidRDefault="008B4161" w:rsidP="008B4161">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single" w:sz="16" w:space="0" w:color="000000"/>
              <w:right w:val="single" w:sz="16" w:space="0" w:color="000000"/>
            </w:tcBorders>
            <w:shd w:val="clear" w:color="auto" w:fill="FFFFFF"/>
          </w:tcPr>
          <w:p w14:paraId="753D09DE" w14:textId="77777777" w:rsidR="008B4161" w:rsidRPr="008B4161" w:rsidRDefault="008B4161" w:rsidP="008B4161">
            <w:pPr>
              <w:autoSpaceDE w:val="0"/>
              <w:autoSpaceDN w:val="0"/>
              <w:adjustRightInd w:val="0"/>
              <w:spacing w:line="320" w:lineRule="atLeast"/>
              <w:ind w:left="60" w:right="60"/>
              <w:jc w:val="left"/>
              <w:rPr>
                <w:rFonts w:ascii="Arial" w:hAnsi="Arial" w:cs="Arial"/>
                <w:color w:val="000000"/>
                <w:kern w:val="0"/>
                <w:sz w:val="18"/>
                <w:szCs w:val="18"/>
              </w:rPr>
            </w:pPr>
            <w:r w:rsidRPr="008B4161">
              <w:rPr>
                <w:rFonts w:ascii="Arial" w:hAnsi="Arial" w:cs="Arial"/>
                <w:color w:val="000000"/>
                <w:kern w:val="0"/>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41B09205" w14:textId="77777777" w:rsidR="008B4161" w:rsidRPr="008B4161" w:rsidRDefault="008B4161" w:rsidP="008B4161">
            <w:pPr>
              <w:autoSpaceDE w:val="0"/>
              <w:autoSpaceDN w:val="0"/>
              <w:adjustRightInd w:val="0"/>
              <w:spacing w:line="320" w:lineRule="atLeast"/>
              <w:ind w:left="60" w:right="60"/>
              <w:jc w:val="right"/>
              <w:rPr>
                <w:rFonts w:ascii="Arial" w:hAnsi="Arial" w:cs="Arial"/>
                <w:color w:val="000000"/>
                <w:kern w:val="0"/>
                <w:sz w:val="18"/>
                <w:szCs w:val="18"/>
              </w:rPr>
            </w:pPr>
            <w:r w:rsidRPr="008B4161">
              <w:rPr>
                <w:rFonts w:ascii="Arial" w:hAnsi="Arial" w:cs="Arial"/>
                <w:color w:val="000000"/>
                <w:kern w:val="0"/>
                <w:sz w:val="18"/>
                <w:szCs w:val="18"/>
              </w:rPr>
              <w:t>100</w:t>
            </w:r>
          </w:p>
        </w:tc>
        <w:tc>
          <w:tcPr>
            <w:tcW w:w="1029" w:type="dxa"/>
            <w:tcBorders>
              <w:top w:val="nil"/>
              <w:bottom w:val="single" w:sz="16" w:space="0" w:color="000000"/>
            </w:tcBorders>
            <w:shd w:val="clear" w:color="auto" w:fill="FFFFFF"/>
            <w:vAlign w:val="center"/>
          </w:tcPr>
          <w:p w14:paraId="2DDE93C6" w14:textId="77777777" w:rsidR="008B4161" w:rsidRPr="008B4161" w:rsidRDefault="008B4161" w:rsidP="008B4161">
            <w:pPr>
              <w:autoSpaceDE w:val="0"/>
              <w:autoSpaceDN w:val="0"/>
              <w:adjustRightInd w:val="0"/>
              <w:spacing w:line="320" w:lineRule="atLeast"/>
              <w:ind w:left="60" w:right="60"/>
              <w:jc w:val="right"/>
              <w:rPr>
                <w:rFonts w:ascii="Arial" w:hAnsi="Arial" w:cs="Arial"/>
                <w:color w:val="000000"/>
                <w:kern w:val="0"/>
                <w:sz w:val="18"/>
                <w:szCs w:val="18"/>
              </w:rPr>
            </w:pPr>
            <w:r w:rsidRPr="008B4161">
              <w:rPr>
                <w:rFonts w:ascii="Arial" w:hAnsi="Arial" w:cs="Arial"/>
                <w:color w:val="000000"/>
                <w:kern w:val="0"/>
                <w:sz w:val="18"/>
                <w:szCs w:val="18"/>
              </w:rPr>
              <w:t>100.0</w:t>
            </w:r>
          </w:p>
        </w:tc>
        <w:tc>
          <w:tcPr>
            <w:tcW w:w="1398" w:type="dxa"/>
            <w:tcBorders>
              <w:top w:val="nil"/>
              <w:bottom w:val="single" w:sz="16" w:space="0" w:color="000000"/>
            </w:tcBorders>
            <w:shd w:val="clear" w:color="auto" w:fill="FFFFFF"/>
            <w:vAlign w:val="center"/>
          </w:tcPr>
          <w:p w14:paraId="4ED7D11F" w14:textId="77777777" w:rsidR="008B4161" w:rsidRPr="008B4161" w:rsidRDefault="008B4161" w:rsidP="008B4161">
            <w:pPr>
              <w:autoSpaceDE w:val="0"/>
              <w:autoSpaceDN w:val="0"/>
              <w:adjustRightInd w:val="0"/>
              <w:spacing w:line="320" w:lineRule="atLeast"/>
              <w:ind w:left="60" w:right="60"/>
              <w:jc w:val="right"/>
              <w:rPr>
                <w:rFonts w:ascii="Arial" w:hAnsi="Arial" w:cs="Arial"/>
                <w:color w:val="000000"/>
                <w:kern w:val="0"/>
                <w:sz w:val="18"/>
                <w:szCs w:val="18"/>
              </w:rPr>
            </w:pPr>
            <w:r w:rsidRPr="008B4161">
              <w:rPr>
                <w:rFonts w:ascii="Arial" w:hAnsi="Arial" w:cs="Arial"/>
                <w:color w:val="000000"/>
                <w:kern w:val="0"/>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487E62F6" w14:textId="77777777" w:rsidR="008B4161" w:rsidRPr="008B4161" w:rsidRDefault="008B4161" w:rsidP="008B4161">
            <w:pPr>
              <w:autoSpaceDE w:val="0"/>
              <w:autoSpaceDN w:val="0"/>
              <w:adjustRightInd w:val="0"/>
              <w:spacing w:line="240" w:lineRule="auto"/>
              <w:jc w:val="left"/>
              <w:rPr>
                <w:rFonts w:ascii="Times New Roman" w:hAnsi="Times New Roman" w:cs="Times New Roman"/>
                <w:kern w:val="0"/>
                <w:sz w:val="24"/>
                <w:szCs w:val="24"/>
              </w:rPr>
            </w:pPr>
          </w:p>
        </w:tc>
      </w:tr>
    </w:tbl>
    <w:p w14:paraId="377FE368" w14:textId="77777777" w:rsidR="00626865" w:rsidRDefault="00626865" w:rsidP="00A90EF7">
      <w:pPr>
        <w:tabs>
          <w:tab w:val="left" w:pos="3380"/>
        </w:tabs>
        <w:rPr>
          <w:rFonts w:ascii="Times New Roman" w:hAnsi="Times New Roman" w:cs="Times New Roman"/>
          <w:kern w:val="0"/>
          <w:sz w:val="24"/>
          <w:szCs w:val="24"/>
        </w:rPr>
      </w:pPr>
    </w:p>
    <w:p w14:paraId="05C58C87" w14:textId="77777777" w:rsidR="00626865" w:rsidRDefault="00626865" w:rsidP="00BA6430">
      <w:pPr>
        <w:tabs>
          <w:tab w:val="left" w:pos="3380"/>
        </w:tabs>
        <w:spacing w:line="480" w:lineRule="auto"/>
        <w:rPr>
          <w:rFonts w:ascii="Times New Roman" w:hAnsi="Times New Roman" w:cs="Times New Roman"/>
          <w:kern w:val="0"/>
          <w:sz w:val="24"/>
          <w:szCs w:val="24"/>
        </w:rPr>
      </w:pPr>
    </w:p>
    <w:p w14:paraId="5BFE4900" w14:textId="46FC5FF8" w:rsidR="00D017D0" w:rsidRDefault="00626865" w:rsidP="00BA6430">
      <w:pPr>
        <w:tabs>
          <w:tab w:val="left" w:pos="3380"/>
        </w:tabs>
        <w:spacing w:line="480" w:lineRule="auto"/>
        <w:rPr>
          <w:rFonts w:ascii="Times New Roman" w:hAnsi="Times New Roman" w:cs="Times New Roman"/>
          <w:kern w:val="0"/>
          <w:sz w:val="24"/>
          <w:szCs w:val="24"/>
        </w:rPr>
      </w:pPr>
      <w:r w:rsidRPr="00626865">
        <w:rPr>
          <w:rFonts w:ascii="Times New Roman" w:hAnsi="Times New Roman" w:cs="Times New Roman"/>
          <w:kern w:val="0"/>
          <w:sz w:val="24"/>
          <w:szCs w:val="24"/>
        </w:rPr>
        <w:t>This table shows that almost every social worker in the study (99 out of 100, or 99%) is aware of the common forms of gender-based violence (GBV) in their community, such as domestic abuse, sexual violence, and coercive control. Only one person (1%) reported not being aware. This is an extremely high level of awareness, the highest seen across all the questions so far. It strongly indicates that recognizing the basic existence and types of GBV – a critical issue affecting women and marginalized genders – is nearly universal among these practitioners. This widespread recognition is essential because GBV is a serious, often hidden problem; knowing what it looks like is the first vital step for social workers to identify it, respond supportively, and connect survivors to help. However, while awareness is crucial, it doesn't automatically mean every worker feels confident in how to respond effectively, understands the full complexities and impacts of GBV, knows all the local resources, or consistently identifies less obvious forms of control. The fact that 97% reported facing challenges when addressing gender issues (Table 10) suggests that even with this near-universal awareness, putting knowledge into practice to support survivors and prevent violence remains difficult due to obstacles like lack of resources or community resistance. Therefore, this table confirms a solid foundation of basic GBV knowledge exists within this group, which is positive, but it likely represents just the starting point for the deeper skills and support needed to effectively intervene and make a difference.</w:t>
      </w:r>
    </w:p>
    <w:p w14:paraId="4723D28D" w14:textId="77777777" w:rsidR="00D017D0" w:rsidRDefault="00D017D0" w:rsidP="00BA6430">
      <w:pPr>
        <w:tabs>
          <w:tab w:val="left" w:pos="3380"/>
        </w:tabs>
        <w:spacing w:line="480" w:lineRule="auto"/>
      </w:pPr>
    </w:p>
    <w:p w14:paraId="4808C86B" w14:textId="77777777" w:rsidR="002F6F19" w:rsidRPr="002F6F19" w:rsidRDefault="002F6F19" w:rsidP="002F6F19">
      <w:pPr>
        <w:autoSpaceDE w:val="0"/>
        <w:autoSpaceDN w:val="0"/>
        <w:adjustRightInd w:val="0"/>
        <w:spacing w:line="240" w:lineRule="auto"/>
        <w:jc w:val="left"/>
        <w:rPr>
          <w:rFonts w:ascii="Times New Roman" w:hAnsi="Times New Roman" w:cs="Times New Roman"/>
          <w:kern w:val="0"/>
          <w:sz w:val="24"/>
          <w:szCs w:val="24"/>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2F6F19" w:rsidRPr="002F6F19" w14:paraId="006BDD8B" w14:textId="77777777">
        <w:trPr>
          <w:cantSplit/>
        </w:trPr>
        <w:tc>
          <w:tcPr>
            <w:tcW w:w="6544" w:type="dxa"/>
            <w:gridSpan w:val="6"/>
            <w:tcBorders>
              <w:top w:val="nil"/>
              <w:left w:val="nil"/>
              <w:bottom w:val="nil"/>
              <w:right w:val="nil"/>
            </w:tcBorders>
            <w:shd w:val="clear" w:color="auto" w:fill="FFFFFF"/>
            <w:vAlign w:val="center"/>
          </w:tcPr>
          <w:p w14:paraId="13FD888A" w14:textId="77777777" w:rsidR="002F6F19" w:rsidRPr="002F6F19" w:rsidRDefault="002F6F19" w:rsidP="002F6F19">
            <w:pPr>
              <w:autoSpaceDE w:val="0"/>
              <w:autoSpaceDN w:val="0"/>
              <w:adjustRightInd w:val="0"/>
              <w:spacing w:line="320" w:lineRule="atLeast"/>
              <w:ind w:left="60" w:right="60"/>
              <w:jc w:val="center"/>
              <w:rPr>
                <w:rFonts w:ascii="Arial" w:hAnsi="Arial" w:cs="Arial"/>
                <w:color w:val="000000"/>
                <w:kern w:val="0"/>
                <w:sz w:val="18"/>
                <w:szCs w:val="18"/>
              </w:rPr>
            </w:pPr>
            <w:r w:rsidRPr="002F6F19">
              <w:rPr>
                <w:rFonts w:ascii="Arial" w:hAnsi="Arial" w:cs="Arial"/>
                <w:b/>
                <w:bCs/>
                <w:color w:val="000000"/>
                <w:kern w:val="0"/>
                <w:sz w:val="18"/>
                <w:szCs w:val="18"/>
              </w:rPr>
              <w:t>12. Have you received specialized training on identifying and responding to GBV cases in your professional practice?</w:t>
            </w:r>
          </w:p>
        </w:tc>
      </w:tr>
      <w:tr w:rsidR="002F6F19" w:rsidRPr="002F6F19" w14:paraId="3465D055" w14:textId="77777777">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451ED4F1" w14:textId="77777777" w:rsidR="002F6F19" w:rsidRPr="002F6F19" w:rsidRDefault="002F6F19" w:rsidP="002F6F19">
            <w:pPr>
              <w:autoSpaceDE w:val="0"/>
              <w:autoSpaceDN w:val="0"/>
              <w:adjustRightInd w:val="0"/>
              <w:spacing w:line="240" w:lineRule="auto"/>
              <w:jc w:val="left"/>
              <w:rPr>
                <w:rFonts w:ascii="Times New Roman" w:hAnsi="Times New Roman" w:cs="Times New Roman"/>
                <w:kern w:val="0"/>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14:paraId="4ADC0B47" w14:textId="77777777" w:rsidR="002F6F19" w:rsidRPr="002F6F19" w:rsidRDefault="002F6F19" w:rsidP="002F6F19">
            <w:pPr>
              <w:autoSpaceDE w:val="0"/>
              <w:autoSpaceDN w:val="0"/>
              <w:adjustRightInd w:val="0"/>
              <w:spacing w:line="320" w:lineRule="atLeast"/>
              <w:ind w:left="60" w:right="60"/>
              <w:jc w:val="center"/>
              <w:rPr>
                <w:rFonts w:ascii="Arial" w:hAnsi="Arial" w:cs="Arial"/>
                <w:color w:val="000000"/>
                <w:kern w:val="0"/>
                <w:sz w:val="18"/>
                <w:szCs w:val="18"/>
              </w:rPr>
            </w:pPr>
            <w:r w:rsidRPr="002F6F19">
              <w:rPr>
                <w:rFonts w:ascii="Arial" w:hAnsi="Arial" w:cs="Arial"/>
                <w:color w:val="000000"/>
                <w:kern w:val="0"/>
                <w:sz w:val="18"/>
                <w:szCs w:val="18"/>
              </w:rPr>
              <w:t>Frequency</w:t>
            </w:r>
          </w:p>
        </w:tc>
        <w:tc>
          <w:tcPr>
            <w:tcW w:w="1029" w:type="dxa"/>
            <w:tcBorders>
              <w:top w:val="single" w:sz="16" w:space="0" w:color="000000"/>
              <w:bottom w:val="single" w:sz="16" w:space="0" w:color="000000"/>
            </w:tcBorders>
            <w:shd w:val="clear" w:color="auto" w:fill="FFFFFF"/>
            <w:vAlign w:val="bottom"/>
          </w:tcPr>
          <w:p w14:paraId="76A96D0B" w14:textId="77777777" w:rsidR="002F6F19" w:rsidRPr="002F6F19" w:rsidRDefault="002F6F19" w:rsidP="002F6F19">
            <w:pPr>
              <w:autoSpaceDE w:val="0"/>
              <w:autoSpaceDN w:val="0"/>
              <w:adjustRightInd w:val="0"/>
              <w:spacing w:line="320" w:lineRule="atLeast"/>
              <w:ind w:left="60" w:right="60"/>
              <w:jc w:val="center"/>
              <w:rPr>
                <w:rFonts w:ascii="Arial" w:hAnsi="Arial" w:cs="Arial"/>
                <w:color w:val="000000"/>
                <w:kern w:val="0"/>
                <w:sz w:val="18"/>
                <w:szCs w:val="18"/>
              </w:rPr>
            </w:pPr>
            <w:r w:rsidRPr="002F6F19">
              <w:rPr>
                <w:rFonts w:ascii="Arial" w:hAnsi="Arial" w:cs="Arial"/>
                <w:color w:val="000000"/>
                <w:kern w:val="0"/>
                <w:sz w:val="18"/>
                <w:szCs w:val="18"/>
              </w:rPr>
              <w:t>Percent</w:t>
            </w:r>
          </w:p>
        </w:tc>
        <w:tc>
          <w:tcPr>
            <w:tcW w:w="1398" w:type="dxa"/>
            <w:tcBorders>
              <w:top w:val="single" w:sz="16" w:space="0" w:color="000000"/>
              <w:bottom w:val="single" w:sz="16" w:space="0" w:color="000000"/>
            </w:tcBorders>
            <w:shd w:val="clear" w:color="auto" w:fill="FFFFFF"/>
            <w:vAlign w:val="bottom"/>
          </w:tcPr>
          <w:p w14:paraId="5CC93F6C" w14:textId="77777777" w:rsidR="002F6F19" w:rsidRPr="002F6F19" w:rsidRDefault="002F6F19" w:rsidP="002F6F19">
            <w:pPr>
              <w:autoSpaceDE w:val="0"/>
              <w:autoSpaceDN w:val="0"/>
              <w:adjustRightInd w:val="0"/>
              <w:spacing w:line="320" w:lineRule="atLeast"/>
              <w:ind w:left="60" w:right="60"/>
              <w:jc w:val="center"/>
              <w:rPr>
                <w:rFonts w:ascii="Arial" w:hAnsi="Arial" w:cs="Arial"/>
                <w:color w:val="000000"/>
                <w:kern w:val="0"/>
                <w:sz w:val="18"/>
                <w:szCs w:val="18"/>
              </w:rPr>
            </w:pPr>
            <w:r w:rsidRPr="002F6F19">
              <w:rPr>
                <w:rFonts w:ascii="Arial" w:hAnsi="Arial" w:cs="Arial"/>
                <w:color w:val="000000"/>
                <w:kern w:val="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2F92F8F6" w14:textId="77777777" w:rsidR="002F6F19" w:rsidRPr="002F6F19" w:rsidRDefault="002F6F19" w:rsidP="002F6F19">
            <w:pPr>
              <w:autoSpaceDE w:val="0"/>
              <w:autoSpaceDN w:val="0"/>
              <w:adjustRightInd w:val="0"/>
              <w:spacing w:line="320" w:lineRule="atLeast"/>
              <w:ind w:left="60" w:right="60"/>
              <w:jc w:val="center"/>
              <w:rPr>
                <w:rFonts w:ascii="Arial" w:hAnsi="Arial" w:cs="Arial"/>
                <w:color w:val="000000"/>
                <w:kern w:val="0"/>
                <w:sz w:val="18"/>
                <w:szCs w:val="18"/>
              </w:rPr>
            </w:pPr>
            <w:r w:rsidRPr="002F6F19">
              <w:rPr>
                <w:rFonts w:ascii="Arial" w:hAnsi="Arial" w:cs="Arial"/>
                <w:color w:val="000000"/>
                <w:kern w:val="0"/>
                <w:sz w:val="18"/>
                <w:szCs w:val="18"/>
              </w:rPr>
              <w:t>Cumulative Percent</w:t>
            </w:r>
          </w:p>
        </w:tc>
      </w:tr>
      <w:tr w:rsidR="002F6F19" w:rsidRPr="002F6F19" w14:paraId="0EA6A99A" w14:textId="77777777">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40F613FC" w14:textId="77777777" w:rsidR="002F6F19" w:rsidRPr="002F6F19" w:rsidRDefault="002F6F19" w:rsidP="002F6F19">
            <w:pPr>
              <w:autoSpaceDE w:val="0"/>
              <w:autoSpaceDN w:val="0"/>
              <w:adjustRightInd w:val="0"/>
              <w:spacing w:line="320" w:lineRule="atLeast"/>
              <w:ind w:left="60" w:right="60"/>
              <w:jc w:val="left"/>
              <w:rPr>
                <w:rFonts w:ascii="Arial" w:hAnsi="Arial" w:cs="Arial"/>
                <w:color w:val="000000"/>
                <w:kern w:val="0"/>
                <w:sz w:val="18"/>
                <w:szCs w:val="18"/>
              </w:rPr>
            </w:pPr>
            <w:r w:rsidRPr="002F6F19">
              <w:rPr>
                <w:rFonts w:ascii="Arial" w:hAnsi="Arial" w:cs="Arial"/>
                <w:color w:val="000000"/>
                <w:kern w:val="0"/>
                <w:sz w:val="18"/>
                <w:szCs w:val="18"/>
              </w:rPr>
              <w:t>Valid</w:t>
            </w:r>
          </w:p>
        </w:tc>
        <w:tc>
          <w:tcPr>
            <w:tcW w:w="737" w:type="dxa"/>
            <w:tcBorders>
              <w:top w:val="single" w:sz="16" w:space="0" w:color="000000"/>
              <w:left w:val="nil"/>
              <w:bottom w:val="nil"/>
              <w:right w:val="single" w:sz="16" w:space="0" w:color="000000"/>
            </w:tcBorders>
            <w:shd w:val="clear" w:color="auto" w:fill="FFFFFF"/>
          </w:tcPr>
          <w:p w14:paraId="3B6992D9" w14:textId="77777777" w:rsidR="002F6F19" w:rsidRPr="002F6F19" w:rsidRDefault="002F6F19" w:rsidP="002F6F19">
            <w:pPr>
              <w:autoSpaceDE w:val="0"/>
              <w:autoSpaceDN w:val="0"/>
              <w:adjustRightInd w:val="0"/>
              <w:spacing w:line="320" w:lineRule="atLeast"/>
              <w:ind w:left="60" w:right="60"/>
              <w:jc w:val="left"/>
              <w:rPr>
                <w:rFonts w:ascii="Arial" w:hAnsi="Arial" w:cs="Arial"/>
                <w:color w:val="000000"/>
                <w:kern w:val="0"/>
                <w:sz w:val="18"/>
                <w:szCs w:val="18"/>
              </w:rPr>
            </w:pPr>
            <w:r w:rsidRPr="002F6F19">
              <w:rPr>
                <w:rFonts w:ascii="Arial" w:hAnsi="Arial" w:cs="Arial"/>
                <w:color w:val="000000"/>
                <w:kern w:val="0"/>
                <w:sz w:val="18"/>
                <w:szCs w:val="18"/>
              </w:rPr>
              <w:t>No</w:t>
            </w:r>
          </w:p>
        </w:tc>
        <w:tc>
          <w:tcPr>
            <w:tcW w:w="1168" w:type="dxa"/>
            <w:tcBorders>
              <w:top w:val="single" w:sz="16" w:space="0" w:color="000000"/>
              <w:left w:val="single" w:sz="16" w:space="0" w:color="000000"/>
              <w:bottom w:val="nil"/>
            </w:tcBorders>
            <w:shd w:val="clear" w:color="auto" w:fill="FFFFFF"/>
            <w:vAlign w:val="center"/>
          </w:tcPr>
          <w:p w14:paraId="5C3362AD" w14:textId="77777777" w:rsidR="002F6F19" w:rsidRPr="002F6F19" w:rsidRDefault="002F6F19" w:rsidP="002F6F19">
            <w:pPr>
              <w:autoSpaceDE w:val="0"/>
              <w:autoSpaceDN w:val="0"/>
              <w:adjustRightInd w:val="0"/>
              <w:spacing w:line="320" w:lineRule="atLeast"/>
              <w:ind w:left="60" w:right="60"/>
              <w:jc w:val="right"/>
              <w:rPr>
                <w:rFonts w:ascii="Arial" w:hAnsi="Arial" w:cs="Arial"/>
                <w:color w:val="000000"/>
                <w:kern w:val="0"/>
                <w:sz w:val="18"/>
                <w:szCs w:val="18"/>
              </w:rPr>
            </w:pPr>
            <w:r w:rsidRPr="002F6F19">
              <w:rPr>
                <w:rFonts w:ascii="Arial" w:hAnsi="Arial" w:cs="Arial"/>
                <w:color w:val="000000"/>
                <w:kern w:val="0"/>
                <w:sz w:val="18"/>
                <w:szCs w:val="18"/>
              </w:rPr>
              <w:t>4</w:t>
            </w:r>
          </w:p>
        </w:tc>
        <w:tc>
          <w:tcPr>
            <w:tcW w:w="1029" w:type="dxa"/>
            <w:tcBorders>
              <w:top w:val="single" w:sz="16" w:space="0" w:color="000000"/>
              <w:bottom w:val="nil"/>
            </w:tcBorders>
            <w:shd w:val="clear" w:color="auto" w:fill="FFFFFF"/>
            <w:vAlign w:val="center"/>
          </w:tcPr>
          <w:p w14:paraId="3A5D6A81" w14:textId="77777777" w:rsidR="002F6F19" w:rsidRPr="002F6F19" w:rsidRDefault="002F6F19" w:rsidP="002F6F19">
            <w:pPr>
              <w:autoSpaceDE w:val="0"/>
              <w:autoSpaceDN w:val="0"/>
              <w:adjustRightInd w:val="0"/>
              <w:spacing w:line="320" w:lineRule="atLeast"/>
              <w:ind w:left="60" w:right="60"/>
              <w:jc w:val="right"/>
              <w:rPr>
                <w:rFonts w:ascii="Arial" w:hAnsi="Arial" w:cs="Arial"/>
                <w:color w:val="000000"/>
                <w:kern w:val="0"/>
                <w:sz w:val="18"/>
                <w:szCs w:val="18"/>
              </w:rPr>
            </w:pPr>
            <w:r w:rsidRPr="002F6F19">
              <w:rPr>
                <w:rFonts w:ascii="Arial" w:hAnsi="Arial" w:cs="Arial"/>
                <w:color w:val="000000"/>
                <w:kern w:val="0"/>
                <w:sz w:val="18"/>
                <w:szCs w:val="18"/>
              </w:rPr>
              <w:t>4.0</w:t>
            </w:r>
          </w:p>
        </w:tc>
        <w:tc>
          <w:tcPr>
            <w:tcW w:w="1398" w:type="dxa"/>
            <w:tcBorders>
              <w:top w:val="single" w:sz="16" w:space="0" w:color="000000"/>
              <w:bottom w:val="nil"/>
            </w:tcBorders>
            <w:shd w:val="clear" w:color="auto" w:fill="FFFFFF"/>
            <w:vAlign w:val="center"/>
          </w:tcPr>
          <w:p w14:paraId="2CCBA0AB" w14:textId="77777777" w:rsidR="002F6F19" w:rsidRPr="002F6F19" w:rsidRDefault="002F6F19" w:rsidP="002F6F19">
            <w:pPr>
              <w:autoSpaceDE w:val="0"/>
              <w:autoSpaceDN w:val="0"/>
              <w:adjustRightInd w:val="0"/>
              <w:spacing w:line="320" w:lineRule="atLeast"/>
              <w:ind w:left="60" w:right="60"/>
              <w:jc w:val="right"/>
              <w:rPr>
                <w:rFonts w:ascii="Arial" w:hAnsi="Arial" w:cs="Arial"/>
                <w:color w:val="000000"/>
                <w:kern w:val="0"/>
                <w:sz w:val="18"/>
                <w:szCs w:val="18"/>
              </w:rPr>
            </w:pPr>
            <w:r w:rsidRPr="002F6F19">
              <w:rPr>
                <w:rFonts w:ascii="Arial" w:hAnsi="Arial" w:cs="Arial"/>
                <w:color w:val="000000"/>
                <w:kern w:val="0"/>
                <w:sz w:val="18"/>
                <w:szCs w:val="18"/>
              </w:rPr>
              <w:t>4.0</w:t>
            </w:r>
          </w:p>
        </w:tc>
        <w:tc>
          <w:tcPr>
            <w:tcW w:w="1475" w:type="dxa"/>
            <w:tcBorders>
              <w:top w:val="single" w:sz="16" w:space="0" w:color="000000"/>
              <w:bottom w:val="nil"/>
              <w:right w:val="single" w:sz="16" w:space="0" w:color="000000"/>
            </w:tcBorders>
            <w:shd w:val="clear" w:color="auto" w:fill="FFFFFF"/>
            <w:vAlign w:val="center"/>
          </w:tcPr>
          <w:p w14:paraId="1ADF96BE" w14:textId="77777777" w:rsidR="002F6F19" w:rsidRPr="002F6F19" w:rsidRDefault="002F6F19" w:rsidP="002F6F19">
            <w:pPr>
              <w:autoSpaceDE w:val="0"/>
              <w:autoSpaceDN w:val="0"/>
              <w:adjustRightInd w:val="0"/>
              <w:spacing w:line="320" w:lineRule="atLeast"/>
              <w:ind w:left="60" w:right="60"/>
              <w:jc w:val="right"/>
              <w:rPr>
                <w:rFonts w:ascii="Arial" w:hAnsi="Arial" w:cs="Arial"/>
                <w:color w:val="000000"/>
                <w:kern w:val="0"/>
                <w:sz w:val="18"/>
                <w:szCs w:val="18"/>
              </w:rPr>
            </w:pPr>
            <w:r w:rsidRPr="002F6F19">
              <w:rPr>
                <w:rFonts w:ascii="Arial" w:hAnsi="Arial" w:cs="Arial"/>
                <w:color w:val="000000"/>
                <w:kern w:val="0"/>
                <w:sz w:val="18"/>
                <w:szCs w:val="18"/>
              </w:rPr>
              <w:t>4.0</w:t>
            </w:r>
          </w:p>
        </w:tc>
      </w:tr>
      <w:tr w:rsidR="002F6F19" w:rsidRPr="002F6F19" w14:paraId="377D8ED4"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AC543BA" w14:textId="77777777" w:rsidR="002F6F19" w:rsidRPr="002F6F19" w:rsidRDefault="002F6F19" w:rsidP="002F6F19">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nil"/>
              <w:right w:val="single" w:sz="16" w:space="0" w:color="000000"/>
            </w:tcBorders>
            <w:shd w:val="clear" w:color="auto" w:fill="FFFFFF"/>
          </w:tcPr>
          <w:p w14:paraId="6CC3F4AF" w14:textId="77777777" w:rsidR="002F6F19" w:rsidRPr="002F6F19" w:rsidRDefault="002F6F19" w:rsidP="002F6F19">
            <w:pPr>
              <w:autoSpaceDE w:val="0"/>
              <w:autoSpaceDN w:val="0"/>
              <w:adjustRightInd w:val="0"/>
              <w:spacing w:line="320" w:lineRule="atLeast"/>
              <w:ind w:left="60" w:right="60"/>
              <w:jc w:val="left"/>
              <w:rPr>
                <w:rFonts w:ascii="Arial" w:hAnsi="Arial" w:cs="Arial"/>
                <w:color w:val="000000"/>
                <w:kern w:val="0"/>
                <w:sz w:val="18"/>
                <w:szCs w:val="18"/>
              </w:rPr>
            </w:pPr>
            <w:r w:rsidRPr="002F6F19">
              <w:rPr>
                <w:rFonts w:ascii="Arial" w:hAnsi="Arial" w:cs="Arial"/>
                <w:color w:val="000000"/>
                <w:kern w:val="0"/>
                <w:sz w:val="18"/>
                <w:szCs w:val="18"/>
              </w:rPr>
              <w:t>Yes</w:t>
            </w:r>
          </w:p>
        </w:tc>
        <w:tc>
          <w:tcPr>
            <w:tcW w:w="1168" w:type="dxa"/>
            <w:tcBorders>
              <w:top w:val="nil"/>
              <w:left w:val="single" w:sz="16" w:space="0" w:color="000000"/>
              <w:bottom w:val="nil"/>
            </w:tcBorders>
            <w:shd w:val="clear" w:color="auto" w:fill="FFFFFF"/>
            <w:vAlign w:val="center"/>
          </w:tcPr>
          <w:p w14:paraId="348ECDAB" w14:textId="77777777" w:rsidR="002F6F19" w:rsidRPr="002F6F19" w:rsidRDefault="002F6F19" w:rsidP="002F6F19">
            <w:pPr>
              <w:autoSpaceDE w:val="0"/>
              <w:autoSpaceDN w:val="0"/>
              <w:adjustRightInd w:val="0"/>
              <w:spacing w:line="320" w:lineRule="atLeast"/>
              <w:ind w:left="60" w:right="60"/>
              <w:jc w:val="right"/>
              <w:rPr>
                <w:rFonts w:ascii="Arial" w:hAnsi="Arial" w:cs="Arial"/>
                <w:color w:val="000000"/>
                <w:kern w:val="0"/>
                <w:sz w:val="18"/>
                <w:szCs w:val="18"/>
              </w:rPr>
            </w:pPr>
            <w:r w:rsidRPr="002F6F19">
              <w:rPr>
                <w:rFonts w:ascii="Arial" w:hAnsi="Arial" w:cs="Arial"/>
                <w:color w:val="000000"/>
                <w:kern w:val="0"/>
                <w:sz w:val="18"/>
                <w:szCs w:val="18"/>
              </w:rPr>
              <w:t>96</w:t>
            </w:r>
          </w:p>
        </w:tc>
        <w:tc>
          <w:tcPr>
            <w:tcW w:w="1029" w:type="dxa"/>
            <w:tcBorders>
              <w:top w:val="nil"/>
              <w:bottom w:val="nil"/>
            </w:tcBorders>
            <w:shd w:val="clear" w:color="auto" w:fill="FFFFFF"/>
            <w:vAlign w:val="center"/>
          </w:tcPr>
          <w:p w14:paraId="6574E8C5" w14:textId="77777777" w:rsidR="002F6F19" w:rsidRPr="002F6F19" w:rsidRDefault="002F6F19" w:rsidP="002F6F19">
            <w:pPr>
              <w:autoSpaceDE w:val="0"/>
              <w:autoSpaceDN w:val="0"/>
              <w:adjustRightInd w:val="0"/>
              <w:spacing w:line="320" w:lineRule="atLeast"/>
              <w:ind w:left="60" w:right="60"/>
              <w:jc w:val="right"/>
              <w:rPr>
                <w:rFonts w:ascii="Arial" w:hAnsi="Arial" w:cs="Arial"/>
                <w:color w:val="000000"/>
                <w:kern w:val="0"/>
                <w:sz w:val="18"/>
                <w:szCs w:val="18"/>
              </w:rPr>
            </w:pPr>
            <w:r w:rsidRPr="002F6F19">
              <w:rPr>
                <w:rFonts w:ascii="Arial" w:hAnsi="Arial" w:cs="Arial"/>
                <w:color w:val="000000"/>
                <w:kern w:val="0"/>
                <w:sz w:val="18"/>
                <w:szCs w:val="18"/>
              </w:rPr>
              <w:t>96.0</w:t>
            </w:r>
          </w:p>
        </w:tc>
        <w:tc>
          <w:tcPr>
            <w:tcW w:w="1398" w:type="dxa"/>
            <w:tcBorders>
              <w:top w:val="nil"/>
              <w:bottom w:val="nil"/>
            </w:tcBorders>
            <w:shd w:val="clear" w:color="auto" w:fill="FFFFFF"/>
            <w:vAlign w:val="center"/>
          </w:tcPr>
          <w:p w14:paraId="5112AAA0" w14:textId="77777777" w:rsidR="002F6F19" w:rsidRPr="002F6F19" w:rsidRDefault="002F6F19" w:rsidP="002F6F19">
            <w:pPr>
              <w:autoSpaceDE w:val="0"/>
              <w:autoSpaceDN w:val="0"/>
              <w:adjustRightInd w:val="0"/>
              <w:spacing w:line="320" w:lineRule="atLeast"/>
              <w:ind w:left="60" w:right="60"/>
              <w:jc w:val="right"/>
              <w:rPr>
                <w:rFonts w:ascii="Arial" w:hAnsi="Arial" w:cs="Arial"/>
                <w:color w:val="000000"/>
                <w:kern w:val="0"/>
                <w:sz w:val="18"/>
                <w:szCs w:val="18"/>
              </w:rPr>
            </w:pPr>
            <w:r w:rsidRPr="002F6F19">
              <w:rPr>
                <w:rFonts w:ascii="Arial" w:hAnsi="Arial" w:cs="Arial"/>
                <w:color w:val="000000"/>
                <w:kern w:val="0"/>
                <w:sz w:val="18"/>
                <w:szCs w:val="18"/>
              </w:rPr>
              <w:t>96.0</w:t>
            </w:r>
          </w:p>
        </w:tc>
        <w:tc>
          <w:tcPr>
            <w:tcW w:w="1475" w:type="dxa"/>
            <w:tcBorders>
              <w:top w:val="nil"/>
              <w:bottom w:val="nil"/>
              <w:right w:val="single" w:sz="16" w:space="0" w:color="000000"/>
            </w:tcBorders>
            <w:shd w:val="clear" w:color="auto" w:fill="FFFFFF"/>
            <w:vAlign w:val="center"/>
          </w:tcPr>
          <w:p w14:paraId="5428ACE4" w14:textId="77777777" w:rsidR="002F6F19" w:rsidRPr="002F6F19" w:rsidRDefault="002F6F19" w:rsidP="002F6F19">
            <w:pPr>
              <w:autoSpaceDE w:val="0"/>
              <w:autoSpaceDN w:val="0"/>
              <w:adjustRightInd w:val="0"/>
              <w:spacing w:line="320" w:lineRule="atLeast"/>
              <w:ind w:left="60" w:right="60"/>
              <w:jc w:val="right"/>
              <w:rPr>
                <w:rFonts w:ascii="Arial" w:hAnsi="Arial" w:cs="Arial"/>
                <w:color w:val="000000"/>
                <w:kern w:val="0"/>
                <w:sz w:val="18"/>
                <w:szCs w:val="18"/>
              </w:rPr>
            </w:pPr>
            <w:r w:rsidRPr="002F6F19">
              <w:rPr>
                <w:rFonts w:ascii="Arial" w:hAnsi="Arial" w:cs="Arial"/>
                <w:color w:val="000000"/>
                <w:kern w:val="0"/>
                <w:sz w:val="18"/>
                <w:szCs w:val="18"/>
              </w:rPr>
              <w:t>100.0</w:t>
            </w:r>
          </w:p>
        </w:tc>
      </w:tr>
      <w:tr w:rsidR="002F6F19" w:rsidRPr="002F6F19" w14:paraId="45032AE6"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6DD3959" w14:textId="77777777" w:rsidR="002F6F19" w:rsidRPr="002F6F19" w:rsidRDefault="002F6F19" w:rsidP="002F6F19">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single" w:sz="16" w:space="0" w:color="000000"/>
              <w:right w:val="single" w:sz="16" w:space="0" w:color="000000"/>
            </w:tcBorders>
            <w:shd w:val="clear" w:color="auto" w:fill="FFFFFF"/>
          </w:tcPr>
          <w:p w14:paraId="4FEDFF78" w14:textId="77777777" w:rsidR="002F6F19" w:rsidRPr="002F6F19" w:rsidRDefault="002F6F19" w:rsidP="002F6F19">
            <w:pPr>
              <w:autoSpaceDE w:val="0"/>
              <w:autoSpaceDN w:val="0"/>
              <w:adjustRightInd w:val="0"/>
              <w:spacing w:line="320" w:lineRule="atLeast"/>
              <w:ind w:left="60" w:right="60"/>
              <w:jc w:val="left"/>
              <w:rPr>
                <w:rFonts w:ascii="Arial" w:hAnsi="Arial" w:cs="Arial"/>
                <w:color w:val="000000"/>
                <w:kern w:val="0"/>
                <w:sz w:val="18"/>
                <w:szCs w:val="18"/>
              </w:rPr>
            </w:pPr>
            <w:r w:rsidRPr="002F6F19">
              <w:rPr>
                <w:rFonts w:ascii="Arial" w:hAnsi="Arial" w:cs="Arial"/>
                <w:color w:val="000000"/>
                <w:kern w:val="0"/>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786E8D42" w14:textId="77777777" w:rsidR="002F6F19" w:rsidRPr="002F6F19" w:rsidRDefault="002F6F19" w:rsidP="002F6F19">
            <w:pPr>
              <w:autoSpaceDE w:val="0"/>
              <w:autoSpaceDN w:val="0"/>
              <w:adjustRightInd w:val="0"/>
              <w:spacing w:line="320" w:lineRule="atLeast"/>
              <w:ind w:left="60" w:right="60"/>
              <w:jc w:val="right"/>
              <w:rPr>
                <w:rFonts w:ascii="Arial" w:hAnsi="Arial" w:cs="Arial"/>
                <w:color w:val="000000"/>
                <w:kern w:val="0"/>
                <w:sz w:val="18"/>
                <w:szCs w:val="18"/>
              </w:rPr>
            </w:pPr>
            <w:r w:rsidRPr="002F6F19">
              <w:rPr>
                <w:rFonts w:ascii="Arial" w:hAnsi="Arial" w:cs="Arial"/>
                <w:color w:val="000000"/>
                <w:kern w:val="0"/>
                <w:sz w:val="18"/>
                <w:szCs w:val="18"/>
              </w:rPr>
              <w:t>100</w:t>
            </w:r>
          </w:p>
        </w:tc>
        <w:tc>
          <w:tcPr>
            <w:tcW w:w="1029" w:type="dxa"/>
            <w:tcBorders>
              <w:top w:val="nil"/>
              <w:bottom w:val="single" w:sz="16" w:space="0" w:color="000000"/>
            </w:tcBorders>
            <w:shd w:val="clear" w:color="auto" w:fill="FFFFFF"/>
            <w:vAlign w:val="center"/>
          </w:tcPr>
          <w:p w14:paraId="442E280B" w14:textId="77777777" w:rsidR="002F6F19" w:rsidRPr="002F6F19" w:rsidRDefault="002F6F19" w:rsidP="002F6F19">
            <w:pPr>
              <w:autoSpaceDE w:val="0"/>
              <w:autoSpaceDN w:val="0"/>
              <w:adjustRightInd w:val="0"/>
              <w:spacing w:line="320" w:lineRule="atLeast"/>
              <w:ind w:left="60" w:right="60"/>
              <w:jc w:val="right"/>
              <w:rPr>
                <w:rFonts w:ascii="Arial" w:hAnsi="Arial" w:cs="Arial"/>
                <w:color w:val="000000"/>
                <w:kern w:val="0"/>
                <w:sz w:val="18"/>
                <w:szCs w:val="18"/>
              </w:rPr>
            </w:pPr>
            <w:r w:rsidRPr="002F6F19">
              <w:rPr>
                <w:rFonts w:ascii="Arial" w:hAnsi="Arial" w:cs="Arial"/>
                <w:color w:val="000000"/>
                <w:kern w:val="0"/>
                <w:sz w:val="18"/>
                <w:szCs w:val="18"/>
              </w:rPr>
              <w:t>100.0</w:t>
            </w:r>
          </w:p>
        </w:tc>
        <w:tc>
          <w:tcPr>
            <w:tcW w:w="1398" w:type="dxa"/>
            <w:tcBorders>
              <w:top w:val="nil"/>
              <w:bottom w:val="single" w:sz="16" w:space="0" w:color="000000"/>
            </w:tcBorders>
            <w:shd w:val="clear" w:color="auto" w:fill="FFFFFF"/>
            <w:vAlign w:val="center"/>
          </w:tcPr>
          <w:p w14:paraId="39C30CA2" w14:textId="77777777" w:rsidR="002F6F19" w:rsidRPr="002F6F19" w:rsidRDefault="002F6F19" w:rsidP="002F6F19">
            <w:pPr>
              <w:autoSpaceDE w:val="0"/>
              <w:autoSpaceDN w:val="0"/>
              <w:adjustRightInd w:val="0"/>
              <w:spacing w:line="320" w:lineRule="atLeast"/>
              <w:ind w:left="60" w:right="60"/>
              <w:jc w:val="right"/>
              <w:rPr>
                <w:rFonts w:ascii="Arial" w:hAnsi="Arial" w:cs="Arial"/>
                <w:color w:val="000000"/>
                <w:kern w:val="0"/>
                <w:sz w:val="18"/>
                <w:szCs w:val="18"/>
              </w:rPr>
            </w:pPr>
            <w:r w:rsidRPr="002F6F19">
              <w:rPr>
                <w:rFonts w:ascii="Arial" w:hAnsi="Arial" w:cs="Arial"/>
                <w:color w:val="000000"/>
                <w:kern w:val="0"/>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0AC86624" w14:textId="77777777" w:rsidR="002F6F19" w:rsidRPr="002F6F19" w:rsidRDefault="002F6F19" w:rsidP="002F6F19">
            <w:pPr>
              <w:autoSpaceDE w:val="0"/>
              <w:autoSpaceDN w:val="0"/>
              <w:adjustRightInd w:val="0"/>
              <w:spacing w:line="240" w:lineRule="auto"/>
              <w:jc w:val="left"/>
              <w:rPr>
                <w:rFonts w:ascii="Times New Roman" w:hAnsi="Times New Roman" w:cs="Times New Roman"/>
                <w:kern w:val="0"/>
                <w:sz w:val="24"/>
                <w:szCs w:val="24"/>
              </w:rPr>
            </w:pPr>
          </w:p>
        </w:tc>
      </w:tr>
    </w:tbl>
    <w:p w14:paraId="14A97F05" w14:textId="77777777" w:rsidR="00FA4ADD" w:rsidRDefault="00FA4ADD" w:rsidP="00E07EC5">
      <w:pPr>
        <w:autoSpaceDE w:val="0"/>
        <w:autoSpaceDN w:val="0"/>
        <w:adjustRightInd w:val="0"/>
        <w:spacing w:line="240" w:lineRule="auto"/>
        <w:jc w:val="left"/>
        <w:rPr>
          <w:rFonts w:ascii="Times New Roman" w:hAnsi="Times New Roman" w:cs="Times New Roman"/>
          <w:kern w:val="0"/>
          <w:sz w:val="24"/>
          <w:szCs w:val="24"/>
        </w:rPr>
      </w:pPr>
    </w:p>
    <w:p w14:paraId="28A4CDB1" w14:textId="77777777" w:rsidR="00BE21FE" w:rsidRDefault="00604FB9" w:rsidP="00BA6430">
      <w:pPr>
        <w:autoSpaceDE w:val="0"/>
        <w:autoSpaceDN w:val="0"/>
        <w:adjustRightInd w:val="0"/>
        <w:spacing w:line="480" w:lineRule="auto"/>
        <w:jc w:val="left"/>
        <w:rPr>
          <w:rFonts w:ascii="Times New Roman" w:hAnsi="Times New Roman" w:cs="Times New Roman"/>
          <w:kern w:val="0"/>
          <w:sz w:val="24"/>
          <w:szCs w:val="24"/>
        </w:rPr>
      </w:pPr>
      <w:r w:rsidRPr="00604FB9">
        <w:rPr>
          <w:rFonts w:ascii="Times New Roman" w:hAnsi="Times New Roman" w:cs="Times New Roman"/>
          <w:kern w:val="0"/>
          <w:sz w:val="24"/>
          <w:szCs w:val="24"/>
        </w:rPr>
        <w:t xml:space="preserve">This table tells us that almost all the social workers in this study (96 out of 100, or 96%) have received specialized training on how to spot and handle cases of gender-based violence (GBV) in their professional work. Only a very small number (4 out of 100, or 4%) reported not having this specific training. This is a very positive finding, especially when compared to the general gender inequality training (75% in Table 7). It shows </w:t>
      </w:r>
      <w:proofErr w:type="gramStart"/>
      <w:r w:rsidRPr="00604FB9">
        <w:rPr>
          <w:rFonts w:ascii="Times New Roman" w:hAnsi="Times New Roman" w:cs="Times New Roman"/>
          <w:kern w:val="0"/>
          <w:sz w:val="24"/>
          <w:szCs w:val="24"/>
        </w:rPr>
        <w:t xml:space="preserve">that </w:t>
      </w:r>
      <w:r w:rsidR="00361F2C">
        <w:rPr>
          <w:rFonts w:ascii="Times New Roman" w:hAnsi="Times New Roman" w:cs="Times New Roman"/>
          <w:kern w:val="0"/>
          <w:sz w:val="24"/>
          <w:szCs w:val="24"/>
        </w:rPr>
        <w:t xml:space="preserve"> </w:t>
      </w:r>
      <w:r w:rsidRPr="00604FB9">
        <w:rPr>
          <w:rFonts w:ascii="Times New Roman" w:hAnsi="Times New Roman" w:cs="Times New Roman"/>
          <w:kern w:val="0"/>
          <w:sz w:val="24"/>
          <w:szCs w:val="24"/>
        </w:rPr>
        <w:t>training</w:t>
      </w:r>
      <w:proofErr w:type="gramEnd"/>
      <w:r w:rsidRPr="00604FB9">
        <w:rPr>
          <w:rFonts w:ascii="Times New Roman" w:hAnsi="Times New Roman" w:cs="Times New Roman"/>
          <w:kern w:val="0"/>
          <w:sz w:val="24"/>
          <w:szCs w:val="24"/>
        </w:rPr>
        <w:t xml:space="preserve"> focused specifically on the critical issue of GBV – like identifying signs of abuse, responding safely, and understanding coercive control – is much more common</w:t>
      </w:r>
      <w:r w:rsidR="00361F2C">
        <w:rPr>
          <w:rFonts w:ascii="Times New Roman" w:hAnsi="Times New Roman" w:cs="Times New Roman"/>
          <w:kern w:val="0"/>
          <w:sz w:val="24"/>
          <w:szCs w:val="24"/>
        </w:rPr>
        <w:t xml:space="preserve"> </w:t>
      </w:r>
      <w:r w:rsidRPr="00604FB9">
        <w:rPr>
          <w:rFonts w:ascii="Times New Roman" w:hAnsi="Times New Roman" w:cs="Times New Roman"/>
          <w:kern w:val="0"/>
          <w:sz w:val="24"/>
          <w:szCs w:val="24"/>
        </w:rPr>
        <w:t xml:space="preserve">among these practitioners. This high rate (96%) suggests that recognizing the severe nature of GBV, many training programs or employers prioritize equipping social workers with these vital skills. It's good news because effectively supporting survivors requires specific knowledge beyond general </w:t>
      </w:r>
    </w:p>
    <w:p w14:paraId="5744586C" w14:textId="77777777" w:rsidR="00BE21FE" w:rsidRDefault="00BE21FE" w:rsidP="00BA6430">
      <w:pPr>
        <w:autoSpaceDE w:val="0"/>
        <w:autoSpaceDN w:val="0"/>
        <w:adjustRightInd w:val="0"/>
        <w:spacing w:line="480" w:lineRule="auto"/>
        <w:jc w:val="left"/>
        <w:rPr>
          <w:rFonts w:ascii="Times New Roman" w:hAnsi="Times New Roman" w:cs="Times New Roman"/>
          <w:kern w:val="0"/>
          <w:sz w:val="24"/>
          <w:szCs w:val="24"/>
        </w:rPr>
      </w:pPr>
    </w:p>
    <w:p w14:paraId="6889E56E" w14:textId="77777777" w:rsidR="00BE21FE" w:rsidRDefault="00BE21FE" w:rsidP="000819F9">
      <w:pPr>
        <w:autoSpaceDE w:val="0"/>
        <w:autoSpaceDN w:val="0"/>
        <w:adjustRightInd w:val="0"/>
        <w:jc w:val="left"/>
        <w:rPr>
          <w:rFonts w:ascii="Times New Roman" w:hAnsi="Times New Roman" w:cs="Times New Roman"/>
          <w:kern w:val="0"/>
          <w:sz w:val="24"/>
          <w:szCs w:val="24"/>
        </w:rPr>
      </w:pPr>
    </w:p>
    <w:p w14:paraId="1064CE81" w14:textId="77777777" w:rsidR="00BE21FE" w:rsidRDefault="00BE21FE" w:rsidP="000819F9">
      <w:pPr>
        <w:autoSpaceDE w:val="0"/>
        <w:autoSpaceDN w:val="0"/>
        <w:adjustRightInd w:val="0"/>
        <w:jc w:val="left"/>
        <w:rPr>
          <w:rFonts w:ascii="Times New Roman" w:hAnsi="Times New Roman" w:cs="Times New Roman"/>
          <w:kern w:val="0"/>
          <w:sz w:val="24"/>
          <w:szCs w:val="24"/>
        </w:rPr>
      </w:pPr>
    </w:p>
    <w:p w14:paraId="775B7F4B" w14:textId="0D339EEE" w:rsidR="00604FB9" w:rsidRPr="00604FB9" w:rsidRDefault="00604FB9" w:rsidP="002D1E76">
      <w:pPr>
        <w:autoSpaceDE w:val="0"/>
        <w:autoSpaceDN w:val="0"/>
        <w:adjustRightInd w:val="0"/>
        <w:spacing w:line="480" w:lineRule="auto"/>
        <w:jc w:val="left"/>
        <w:rPr>
          <w:rFonts w:ascii="Times New Roman" w:hAnsi="Times New Roman" w:cs="Times New Roman"/>
          <w:kern w:val="0"/>
          <w:sz w:val="24"/>
          <w:szCs w:val="24"/>
        </w:rPr>
      </w:pPr>
      <w:r w:rsidRPr="00604FB9">
        <w:rPr>
          <w:rFonts w:ascii="Times New Roman" w:hAnsi="Times New Roman" w:cs="Times New Roman"/>
          <w:kern w:val="0"/>
          <w:sz w:val="24"/>
          <w:szCs w:val="24"/>
        </w:rPr>
        <w:t>awareness (which was 99% in Table 11). However, while this widespread specialized training is encouraging, it doesn't automatically guarantee that every worker feels confident</w:t>
      </w:r>
      <w:r w:rsidR="00C3535E">
        <w:rPr>
          <w:rFonts w:ascii="Times New Roman" w:hAnsi="Times New Roman" w:cs="Times New Roman"/>
          <w:kern w:val="0"/>
          <w:sz w:val="24"/>
          <w:szCs w:val="24"/>
        </w:rPr>
        <w:t xml:space="preserve"> </w:t>
      </w:r>
      <w:r w:rsidRPr="00604FB9">
        <w:rPr>
          <w:rFonts w:ascii="Times New Roman" w:hAnsi="Times New Roman" w:cs="Times New Roman"/>
          <w:kern w:val="0"/>
          <w:sz w:val="24"/>
          <w:szCs w:val="24"/>
        </w:rPr>
        <w:t>or uses the skills effectively</w:t>
      </w:r>
      <w:r w:rsidR="00C3535E">
        <w:rPr>
          <w:rFonts w:ascii="Times New Roman" w:hAnsi="Times New Roman" w:cs="Times New Roman"/>
          <w:kern w:val="0"/>
          <w:sz w:val="24"/>
          <w:szCs w:val="24"/>
        </w:rPr>
        <w:t xml:space="preserve"> </w:t>
      </w:r>
      <w:r w:rsidRPr="00604FB9">
        <w:rPr>
          <w:rFonts w:ascii="Times New Roman" w:hAnsi="Times New Roman" w:cs="Times New Roman"/>
          <w:kern w:val="0"/>
          <w:sz w:val="24"/>
          <w:szCs w:val="24"/>
        </w:rPr>
        <w:t>in every situation. The fact that 97% reported facing challenges in addressing gender issues overall (Table 10) reminds us that applying this training in the real world can still be difficult due to obstacles like lack of resources or complex client situations. Therefore, this table confirms that the vast majority of these social workers have received important foundational training for GBV response, which is essential for competent practice. </w:t>
      </w:r>
    </w:p>
    <w:p w14:paraId="5578D332" w14:textId="25FF0ABD" w:rsidR="00604FB9" w:rsidRPr="00604FB9" w:rsidRDefault="00604FB9" w:rsidP="002D1E76">
      <w:pPr>
        <w:autoSpaceDE w:val="0"/>
        <w:autoSpaceDN w:val="0"/>
        <w:adjustRightInd w:val="0"/>
        <w:spacing w:line="480" w:lineRule="auto"/>
        <w:jc w:val="left"/>
        <w:rPr>
          <w:rFonts w:ascii="Times New Roman" w:hAnsi="Times New Roman" w:cs="Times New Roman"/>
          <w:kern w:val="0"/>
          <w:sz w:val="24"/>
          <w:szCs w:val="24"/>
        </w:rPr>
      </w:pPr>
      <w:r w:rsidRPr="00604FB9">
        <w:rPr>
          <w:rFonts w:ascii="Times New Roman" w:hAnsi="Times New Roman" w:cs="Times New Roman"/>
          <w:kern w:val="0"/>
          <w:sz w:val="24"/>
          <w:szCs w:val="24"/>
        </w:rPr>
        <w:t xml:space="preserve">Here's a simple interpretation of the tables for Questions 12 and </w:t>
      </w:r>
      <w:proofErr w:type="gramStart"/>
      <w:r w:rsidRPr="00604FB9">
        <w:rPr>
          <w:rFonts w:ascii="Times New Roman" w:hAnsi="Times New Roman" w:cs="Times New Roman"/>
          <w:kern w:val="0"/>
          <w:sz w:val="24"/>
          <w:szCs w:val="24"/>
        </w:rPr>
        <w:t>13:Question</w:t>
      </w:r>
      <w:proofErr w:type="gramEnd"/>
      <w:r w:rsidRPr="00604FB9">
        <w:rPr>
          <w:rFonts w:ascii="Times New Roman" w:hAnsi="Times New Roman" w:cs="Times New Roman"/>
          <w:kern w:val="0"/>
          <w:sz w:val="24"/>
          <w:szCs w:val="24"/>
        </w:rPr>
        <w:t xml:space="preserve"> 12 (Specialized GBV Training): This table shows that nearly all social workers (96 out of 100, or 96%) have received specific training on how to identify and respond to cases </w:t>
      </w:r>
      <w:r w:rsidRPr="00604FB9">
        <w:rPr>
          <w:rFonts w:ascii="Times New Roman" w:hAnsi="Times New Roman" w:cs="Times New Roman"/>
          <w:kern w:val="0"/>
          <w:sz w:val="24"/>
          <w:szCs w:val="24"/>
        </w:rPr>
        <w:lastRenderedPageBreak/>
        <w:t>of gender-based violence (GBV), like domestic abuse or sexual assault. Only 4 people (4%) said they hadn't had this training. This is a very high rate and suggests that learning how to handle GBV cases is a standard and prioritized part of professional development for most social workers in this group. This specialized training is crucial because GBV is a complex and sensitive area requiring specific skills beyond general gender awareness.</w:t>
      </w:r>
    </w:p>
    <w:p w14:paraId="16ED49A4" w14:textId="77777777" w:rsidR="00AC5BA5" w:rsidRDefault="00AC5BA5" w:rsidP="000819F9">
      <w:pPr>
        <w:autoSpaceDE w:val="0"/>
        <w:autoSpaceDN w:val="0"/>
        <w:adjustRightInd w:val="0"/>
        <w:jc w:val="left"/>
        <w:rPr>
          <w:rFonts w:ascii="Times New Roman" w:hAnsi="Times New Roman" w:cs="Times New Roman"/>
          <w:kern w:val="0"/>
          <w:sz w:val="24"/>
          <w:szCs w:val="24"/>
        </w:rPr>
      </w:pPr>
    </w:p>
    <w:p w14:paraId="6A3CBCE9" w14:textId="77777777" w:rsidR="00BE21FE" w:rsidRDefault="00BE21FE" w:rsidP="000819F9">
      <w:pPr>
        <w:autoSpaceDE w:val="0"/>
        <w:autoSpaceDN w:val="0"/>
        <w:adjustRightInd w:val="0"/>
        <w:jc w:val="left"/>
        <w:rPr>
          <w:rFonts w:ascii="Times New Roman" w:hAnsi="Times New Roman" w:cs="Times New Roman"/>
          <w:kern w:val="0"/>
          <w:sz w:val="24"/>
          <w:szCs w:val="24"/>
        </w:rPr>
      </w:pPr>
    </w:p>
    <w:p w14:paraId="1A93CE1D" w14:textId="77777777" w:rsidR="00BE21FE" w:rsidRPr="00E07EC5" w:rsidRDefault="00BE21FE" w:rsidP="000819F9">
      <w:pPr>
        <w:autoSpaceDE w:val="0"/>
        <w:autoSpaceDN w:val="0"/>
        <w:adjustRightInd w:val="0"/>
        <w:jc w:val="left"/>
        <w:rPr>
          <w:rFonts w:ascii="Times New Roman" w:hAnsi="Times New Roman" w:cs="Times New Roman"/>
          <w:kern w:val="0"/>
          <w:sz w:val="24"/>
          <w:szCs w:val="24"/>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E07EC5" w:rsidRPr="00E07EC5" w14:paraId="5EB69F58" w14:textId="77777777">
        <w:trPr>
          <w:cantSplit/>
        </w:trPr>
        <w:tc>
          <w:tcPr>
            <w:tcW w:w="6544" w:type="dxa"/>
            <w:gridSpan w:val="6"/>
            <w:tcBorders>
              <w:top w:val="nil"/>
              <w:left w:val="nil"/>
              <w:bottom w:val="nil"/>
              <w:right w:val="nil"/>
            </w:tcBorders>
            <w:shd w:val="clear" w:color="auto" w:fill="FFFFFF"/>
            <w:vAlign w:val="center"/>
          </w:tcPr>
          <w:p w14:paraId="3CB3F479" w14:textId="77777777" w:rsidR="00E07EC5" w:rsidRPr="00E07EC5" w:rsidRDefault="00E07EC5" w:rsidP="000819F9">
            <w:pPr>
              <w:autoSpaceDE w:val="0"/>
              <w:autoSpaceDN w:val="0"/>
              <w:adjustRightInd w:val="0"/>
              <w:ind w:left="60" w:right="60"/>
              <w:jc w:val="center"/>
              <w:rPr>
                <w:rFonts w:ascii="Arial" w:hAnsi="Arial" w:cs="Arial"/>
                <w:color w:val="000000"/>
                <w:kern w:val="0"/>
                <w:sz w:val="18"/>
                <w:szCs w:val="18"/>
              </w:rPr>
            </w:pPr>
            <w:r w:rsidRPr="00E07EC5">
              <w:rPr>
                <w:rFonts w:ascii="Arial" w:hAnsi="Arial" w:cs="Arial"/>
                <w:b/>
                <w:bCs/>
                <w:color w:val="000000"/>
                <w:kern w:val="0"/>
                <w:sz w:val="18"/>
                <w:szCs w:val="18"/>
              </w:rPr>
              <w:t>13. Do you feel confident in your ability to support survivors of GBV (e.g., providing referrals, safety planning)?</w:t>
            </w:r>
          </w:p>
        </w:tc>
      </w:tr>
      <w:tr w:rsidR="00E07EC5" w:rsidRPr="00E07EC5" w14:paraId="7FFDE23D" w14:textId="77777777">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1F0BE78F" w14:textId="77777777" w:rsidR="00E07EC5" w:rsidRPr="00E07EC5" w:rsidRDefault="00E07EC5" w:rsidP="000819F9">
            <w:pPr>
              <w:autoSpaceDE w:val="0"/>
              <w:autoSpaceDN w:val="0"/>
              <w:adjustRightInd w:val="0"/>
              <w:jc w:val="left"/>
              <w:rPr>
                <w:rFonts w:ascii="Times New Roman" w:hAnsi="Times New Roman" w:cs="Times New Roman"/>
                <w:kern w:val="0"/>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14:paraId="26BF24B4" w14:textId="77777777" w:rsidR="00E07EC5" w:rsidRPr="00E07EC5" w:rsidRDefault="00E07EC5" w:rsidP="000819F9">
            <w:pPr>
              <w:autoSpaceDE w:val="0"/>
              <w:autoSpaceDN w:val="0"/>
              <w:adjustRightInd w:val="0"/>
              <w:ind w:left="60" w:right="60"/>
              <w:jc w:val="center"/>
              <w:rPr>
                <w:rFonts w:ascii="Arial" w:hAnsi="Arial" w:cs="Arial"/>
                <w:color w:val="000000"/>
                <w:kern w:val="0"/>
                <w:sz w:val="18"/>
                <w:szCs w:val="18"/>
              </w:rPr>
            </w:pPr>
            <w:r w:rsidRPr="00E07EC5">
              <w:rPr>
                <w:rFonts w:ascii="Arial" w:hAnsi="Arial" w:cs="Arial"/>
                <w:color w:val="000000"/>
                <w:kern w:val="0"/>
                <w:sz w:val="18"/>
                <w:szCs w:val="18"/>
              </w:rPr>
              <w:t>Frequency</w:t>
            </w:r>
          </w:p>
        </w:tc>
        <w:tc>
          <w:tcPr>
            <w:tcW w:w="1029" w:type="dxa"/>
            <w:tcBorders>
              <w:top w:val="single" w:sz="16" w:space="0" w:color="000000"/>
              <w:bottom w:val="single" w:sz="16" w:space="0" w:color="000000"/>
            </w:tcBorders>
            <w:shd w:val="clear" w:color="auto" w:fill="FFFFFF"/>
            <w:vAlign w:val="bottom"/>
          </w:tcPr>
          <w:p w14:paraId="0DEFD95F" w14:textId="77777777" w:rsidR="00E07EC5" w:rsidRPr="00E07EC5" w:rsidRDefault="00E07EC5" w:rsidP="000819F9">
            <w:pPr>
              <w:autoSpaceDE w:val="0"/>
              <w:autoSpaceDN w:val="0"/>
              <w:adjustRightInd w:val="0"/>
              <w:ind w:left="60" w:right="60"/>
              <w:jc w:val="center"/>
              <w:rPr>
                <w:rFonts w:ascii="Arial" w:hAnsi="Arial" w:cs="Arial"/>
                <w:color w:val="000000"/>
                <w:kern w:val="0"/>
                <w:sz w:val="18"/>
                <w:szCs w:val="18"/>
              </w:rPr>
            </w:pPr>
            <w:r w:rsidRPr="00E07EC5">
              <w:rPr>
                <w:rFonts w:ascii="Arial" w:hAnsi="Arial" w:cs="Arial"/>
                <w:color w:val="000000"/>
                <w:kern w:val="0"/>
                <w:sz w:val="18"/>
                <w:szCs w:val="18"/>
              </w:rPr>
              <w:t>Percent</w:t>
            </w:r>
          </w:p>
        </w:tc>
        <w:tc>
          <w:tcPr>
            <w:tcW w:w="1398" w:type="dxa"/>
            <w:tcBorders>
              <w:top w:val="single" w:sz="16" w:space="0" w:color="000000"/>
              <w:bottom w:val="single" w:sz="16" w:space="0" w:color="000000"/>
            </w:tcBorders>
            <w:shd w:val="clear" w:color="auto" w:fill="FFFFFF"/>
            <w:vAlign w:val="bottom"/>
          </w:tcPr>
          <w:p w14:paraId="4572CC08" w14:textId="77777777" w:rsidR="00E07EC5" w:rsidRPr="00E07EC5" w:rsidRDefault="00E07EC5" w:rsidP="000819F9">
            <w:pPr>
              <w:autoSpaceDE w:val="0"/>
              <w:autoSpaceDN w:val="0"/>
              <w:adjustRightInd w:val="0"/>
              <w:ind w:left="60" w:right="60"/>
              <w:jc w:val="center"/>
              <w:rPr>
                <w:rFonts w:ascii="Arial" w:hAnsi="Arial" w:cs="Arial"/>
                <w:color w:val="000000"/>
                <w:kern w:val="0"/>
                <w:sz w:val="18"/>
                <w:szCs w:val="18"/>
              </w:rPr>
            </w:pPr>
            <w:r w:rsidRPr="00E07EC5">
              <w:rPr>
                <w:rFonts w:ascii="Arial" w:hAnsi="Arial" w:cs="Arial"/>
                <w:color w:val="000000"/>
                <w:kern w:val="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600A236C" w14:textId="77777777" w:rsidR="00E07EC5" w:rsidRPr="00E07EC5" w:rsidRDefault="00E07EC5" w:rsidP="000819F9">
            <w:pPr>
              <w:autoSpaceDE w:val="0"/>
              <w:autoSpaceDN w:val="0"/>
              <w:adjustRightInd w:val="0"/>
              <w:ind w:left="60" w:right="60"/>
              <w:jc w:val="center"/>
              <w:rPr>
                <w:rFonts w:ascii="Arial" w:hAnsi="Arial" w:cs="Arial"/>
                <w:color w:val="000000"/>
                <w:kern w:val="0"/>
                <w:sz w:val="18"/>
                <w:szCs w:val="18"/>
              </w:rPr>
            </w:pPr>
            <w:r w:rsidRPr="00E07EC5">
              <w:rPr>
                <w:rFonts w:ascii="Arial" w:hAnsi="Arial" w:cs="Arial"/>
                <w:color w:val="000000"/>
                <w:kern w:val="0"/>
                <w:sz w:val="18"/>
                <w:szCs w:val="18"/>
              </w:rPr>
              <w:t>Cumulative Percent</w:t>
            </w:r>
          </w:p>
        </w:tc>
      </w:tr>
      <w:tr w:rsidR="00E07EC5" w:rsidRPr="00E07EC5" w14:paraId="013F56B7" w14:textId="77777777">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49DD2F9A" w14:textId="77777777" w:rsidR="00E07EC5" w:rsidRPr="00E07EC5" w:rsidRDefault="00E07EC5" w:rsidP="000819F9">
            <w:pPr>
              <w:autoSpaceDE w:val="0"/>
              <w:autoSpaceDN w:val="0"/>
              <w:adjustRightInd w:val="0"/>
              <w:ind w:left="60" w:right="60"/>
              <w:jc w:val="left"/>
              <w:rPr>
                <w:rFonts w:ascii="Arial" w:hAnsi="Arial" w:cs="Arial"/>
                <w:color w:val="000000"/>
                <w:kern w:val="0"/>
                <w:sz w:val="18"/>
                <w:szCs w:val="18"/>
              </w:rPr>
            </w:pPr>
            <w:r w:rsidRPr="00E07EC5">
              <w:rPr>
                <w:rFonts w:ascii="Arial" w:hAnsi="Arial" w:cs="Arial"/>
                <w:color w:val="000000"/>
                <w:kern w:val="0"/>
                <w:sz w:val="18"/>
                <w:szCs w:val="18"/>
              </w:rPr>
              <w:t>Valid</w:t>
            </w:r>
          </w:p>
        </w:tc>
        <w:tc>
          <w:tcPr>
            <w:tcW w:w="737" w:type="dxa"/>
            <w:tcBorders>
              <w:top w:val="single" w:sz="16" w:space="0" w:color="000000"/>
              <w:left w:val="nil"/>
              <w:bottom w:val="nil"/>
              <w:right w:val="single" w:sz="16" w:space="0" w:color="000000"/>
            </w:tcBorders>
            <w:shd w:val="clear" w:color="auto" w:fill="FFFFFF"/>
          </w:tcPr>
          <w:p w14:paraId="45780116" w14:textId="77777777" w:rsidR="00E07EC5" w:rsidRPr="00E07EC5" w:rsidRDefault="00E07EC5" w:rsidP="000819F9">
            <w:pPr>
              <w:autoSpaceDE w:val="0"/>
              <w:autoSpaceDN w:val="0"/>
              <w:adjustRightInd w:val="0"/>
              <w:ind w:left="60" w:right="60"/>
              <w:jc w:val="left"/>
              <w:rPr>
                <w:rFonts w:ascii="Arial" w:hAnsi="Arial" w:cs="Arial"/>
                <w:color w:val="000000"/>
                <w:kern w:val="0"/>
                <w:sz w:val="18"/>
                <w:szCs w:val="18"/>
              </w:rPr>
            </w:pPr>
            <w:r w:rsidRPr="00E07EC5">
              <w:rPr>
                <w:rFonts w:ascii="Arial" w:hAnsi="Arial" w:cs="Arial"/>
                <w:color w:val="000000"/>
                <w:kern w:val="0"/>
                <w:sz w:val="18"/>
                <w:szCs w:val="18"/>
              </w:rPr>
              <w:t>No</w:t>
            </w:r>
          </w:p>
        </w:tc>
        <w:tc>
          <w:tcPr>
            <w:tcW w:w="1168" w:type="dxa"/>
            <w:tcBorders>
              <w:top w:val="single" w:sz="16" w:space="0" w:color="000000"/>
              <w:left w:val="single" w:sz="16" w:space="0" w:color="000000"/>
              <w:bottom w:val="nil"/>
            </w:tcBorders>
            <w:shd w:val="clear" w:color="auto" w:fill="FFFFFF"/>
            <w:vAlign w:val="center"/>
          </w:tcPr>
          <w:p w14:paraId="27CE702D" w14:textId="77777777" w:rsidR="00E07EC5" w:rsidRPr="00E07EC5" w:rsidRDefault="00E07EC5" w:rsidP="000819F9">
            <w:pPr>
              <w:autoSpaceDE w:val="0"/>
              <w:autoSpaceDN w:val="0"/>
              <w:adjustRightInd w:val="0"/>
              <w:ind w:left="60" w:right="60"/>
              <w:jc w:val="right"/>
              <w:rPr>
                <w:rFonts w:ascii="Arial" w:hAnsi="Arial" w:cs="Arial"/>
                <w:color w:val="000000"/>
                <w:kern w:val="0"/>
                <w:sz w:val="18"/>
                <w:szCs w:val="18"/>
              </w:rPr>
            </w:pPr>
            <w:r w:rsidRPr="00E07EC5">
              <w:rPr>
                <w:rFonts w:ascii="Arial" w:hAnsi="Arial" w:cs="Arial"/>
                <w:color w:val="000000"/>
                <w:kern w:val="0"/>
                <w:sz w:val="18"/>
                <w:szCs w:val="18"/>
              </w:rPr>
              <w:t>2</w:t>
            </w:r>
          </w:p>
        </w:tc>
        <w:tc>
          <w:tcPr>
            <w:tcW w:w="1029" w:type="dxa"/>
            <w:tcBorders>
              <w:top w:val="single" w:sz="16" w:space="0" w:color="000000"/>
              <w:bottom w:val="nil"/>
            </w:tcBorders>
            <w:shd w:val="clear" w:color="auto" w:fill="FFFFFF"/>
            <w:vAlign w:val="center"/>
          </w:tcPr>
          <w:p w14:paraId="35B23741" w14:textId="77777777" w:rsidR="00E07EC5" w:rsidRPr="00E07EC5" w:rsidRDefault="00E07EC5" w:rsidP="000819F9">
            <w:pPr>
              <w:autoSpaceDE w:val="0"/>
              <w:autoSpaceDN w:val="0"/>
              <w:adjustRightInd w:val="0"/>
              <w:ind w:left="60" w:right="60"/>
              <w:jc w:val="right"/>
              <w:rPr>
                <w:rFonts w:ascii="Arial" w:hAnsi="Arial" w:cs="Arial"/>
                <w:color w:val="000000"/>
                <w:kern w:val="0"/>
                <w:sz w:val="18"/>
                <w:szCs w:val="18"/>
              </w:rPr>
            </w:pPr>
            <w:r w:rsidRPr="00E07EC5">
              <w:rPr>
                <w:rFonts w:ascii="Arial" w:hAnsi="Arial" w:cs="Arial"/>
                <w:color w:val="000000"/>
                <w:kern w:val="0"/>
                <w:sz w:val="18"/>
                <w:szCs w:val="18"/>
              </w:rPr>
              <w:t>2.0</w:t>
            </w:r>
          </w:p>
        </w:tc>
        <w:tc>
          <w:tcPr>
            <w:tcW w:w="1398" w:type="dxa"/>
            <w:tcBorders>
              <w:top w:val="single" w:sz="16" w:space="0" w:color="000000"/>
              <w:bottom w:val="nil"/>
            </w:tcBorders>
            <w:shd w:val="clear" w:color="auto" w:fill="FFFFFF"/>
            <w:vAlign w:val="center"/>
          </w:tcPr>
          <w:p w14:paraId="10FE8857" w14:textId="77777777" w:rsidR="00E07EC5" w:rsidRPr="00E07EC5" w:rsidRDefault="00E07EC5" w:rsidP="000819F9">
            <w:pPr>
              <w:autoSpaceDE w:val="0"/>
              <w:autoSpaceDN w:val="0"/>
              <w:adjustRightInd w:val="0"/>
              <w:ind w:left="60" w:right="60"/>
              <w:jc w:val="right"/>
              <w:rPr>
                <w:rFonts w:ascii="Arial" w:hAnsi="Arial" w:cs="Arial"/>
                <w:color w:val="000000"/>
                <w:kern w:val="0"/>
                <w:sz w:val="18"/>
                <w:szCs w:val="18"/>
              </w:rPr>
            </w:pPr>
            <w:r w:rsidRPr="00E07EC5">
              <w:rPr>
                <w:rFonts w:ascii="Arial" w:hAnsi="Arial" w:cs="Arial"/>
                <w:color w:val="000000"/>
                <w:kern w:val="0"/>
                <w:sz w:val="18"/>
                <w:szCs w:val="18"/>
              </w:rPr>
              <w:t>2.0</w:t>
            </w:r>
          </w:p>
        </w:tc>
        <w:tc>
          <w:tcPr>
            <w:tcW w:w="1475" w:type="dxa"/>
            <w:tcBorders>
              <w:top w:val="single" w:sz="16" w:space="0" w:color="000000"/>
              <w:bottom w:val="nil"/>
              <w:right w:val="single" w:sz="16" w:space="0" w:color="000000"/>
            </w:tcBorders>
            <w:shd w:val="clear" w:color="auto" w:fill="FFFFFF"/>
            <w:vAlign w:val="center"/>
          </w:tcPr>
          <w:p w14:paraId="0FC12F46" w14:textId="77777777" w:rsidR="00E07EC5" w:rsidRPr="00E07EC5" w:rsidRDefault="00E07EC5" w:rsidP="000819F9">
            <w:pPr>
              <w:autoSpaceDE w:val="0"/>
              <w:autoSpaceDN w:val="0"/>
              <w:adjustRightInd w:val="0"/>
              <w:ind w:left="60" w:right="60"/>
              <w:jc w:val="right"/>
              <w:rPr>
                <w:rFonts w:ascii="Arial" w:hAnsi="Arial" w:cs="Arial"/>
                <w:color w:val="000000"/>
                <w:kern w:val="0"/>
                <w:sz w:val="18"/>
                <w:szCs w:val="18"/>
              </w:rPr>
            </w:pPr>
            <w:r w:rsidRPr="00E07EC5">
              <w:rPr>
                <w:rFonts w:ascii="Arial" w:hAnsi="Arial" w:cs="Arial"/>
                <w:color w:val="000000"/>
                <w:kern w:val="0"/>
                <w:sz w:val="18"/>
                <w:szCs w:val="18"/>
              </w:rPr>
              <w:t>2.0</w:t>
            </w:r>
          </w:p>
        </w:tc>
      </w:tr>
      <w:tr w:rsidR="00E07EC5" w:rsidRPr="00E07EC5" w14:paraId="2B3571F7"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5EE6C7D" w14:textId="77777777" w:rsidR="00E07EC5" w:rsidRPr="00E07EC5" w:rsidRDefault="00E07EC5" w:rsidP="000819F9">
            <w:pPr>
              <w:autoSpaceDE w:val="0"/>
              <w:autoSpaceDN w:val="0"/>
              <w:adjustRightInd w:val="0"/>
              <w:jc w:val="left"/>
              <w:rPr>
                <w:rFonts w:ascii="Arial" w:hAnsi="Arial" w:cs="Arial"/>
                <w:color w:val="000000"/>
                <w:kern w:val="0"/>
                <w:sz w:val="18"/>
                <w:szCs w:val="18"/>
              </w:rPr>
            </w:pPr>
          </w:p>
        </w:tc>
        <w:tc>
          <w:tcPr>
            <w:tcW w:w="737" w:type="dxa"/>
            <w:tcBorders>
              <w:top w:val="nil"/>
              <w:left w:val="nil"/>
              <w:bottom w:val="nil"/>
              <w:right w:val="single" w:sz="16" w:space="0" w:color="000000"/>
            </w:tcBorders>
            <w:shd w:val="clear" w:color="auto" w:fill="FFFFFF"/>
          </w:tcPr>
          <w:p w14:paraId="56C4F896" w14:textId="77777777" w:rsidR="00E07EC5" w:rsidRPr="00E07EC5" w:rsidRDefault="00E07EC5" w:rsidP="000819F9">
            <w:pPr>
              <w:autoSpaceDE w:val="0"/>
              <w:autoSpaceDN w:val="0"/>
              <w:adjustRightInd w:val="0"/>
              <w:ind w:left="60" w:right="60"/>
              <w:jc w:val="left"/>
              <w:rPr>
                <w:rFonts w:ascii="Arial" w:hAnsi="Arial" w:cs="Arial"/>
                <w:color w:val="000000"/>
                <w:kern w:val="0"/>
                <w:sz w:val="18"/>
                <w:szCs w:val="18"/>
              </w:rPr>
            </w:pPr>
            <w:r w:rsidRPr="00E07EC5">
              <w:rPr>
                <w:rFonts w:ascii="Arial" w:hAnsi="Arial" w:cs="Arial"/>
                <w:color w:val="000000"/>
                <w:kern w:val="0"/>
                <w:sz w:val="18"/>
                <w:szCs w:val="18"/>
              </w:rPr>
              <w:t>Yes</w:t>
            </w:r>
          </w:p>
        </w:tc>
        <w:tc>
          <w:tcPr>
            <w:tcW w:w="1168" w:type="dxa"/>
            <w:tcBorders>
              <w:top w:val="nil"/>
              <w:left w:val="single" w:sz="16" w:space="0" w:color="000000"/>
              <w:bottom w:val="nil"/>
            </w:tcBorders>
            <w:shd w:val="clear" w:color="auto" w:fill="FFFFFF"/>
            <w:vAlign w:val="center"/>
          </w:tcPr>
          <w:p w14:paraId="5D817D90" w14:textId="77777777" w:rsidR="00E07EC5" w:rsidRPr="00E07EC5" w:rsidRDefault="00E07EC5" w:rsidP="000819F9">
            <w:pPr>
              <w:autoSpaceDE w:val="0"/>
              <w:autoSpaceDN w:val="0"/>
              <w:adjustRightInd w:val="0"/>
              <w:ind w:left="60" w:right="60"/>
              <w:jc w:val="right"/>
              <w:rPr>
                <w:rFonts w:ascii="Arial" w:hAnsi="Arial" w:cs="Arial"/>
                <w:color w:val="000000"/>
                <w:kern w:val="0"/>
                <w:sz w:val="18"/>
                <w:szCs w:val="18"/>
              </w:rPr>
            </w:pPr>
            <w:r w:rsidRPr="00E07EC5">
              <w:rPr>
                <w:rFonts w:ascii="Arial" w:hAnsi="Arial" w:cs="Arial"/>
                <w:color w:val="000000"/>
                <w:kern w:val="0"/>
                <w:sz w:val="18"/>
                <w:szCs w:val="18"/>
              </w:rPr>
              <w:t>98</w:t>
            </w:r>
          </w:p>
        </w:tc>
        <w:tc>
          <w:tcPr>
            <w:tcW w:w="1029" w:type="dxa"/>
            <w:tcBorders>
              <w:top w:val="nil"/>
              <w:bottom w:val="nil"/>
            </w:tcBorders>
            <w:shd w:val="clear" w:color="auto" w:fill="FFFFFF"/>
            <w:vAlign w:val="center"/>
          </w:tcPr>
          <w:p w14:paraId="4BBAECCE" w14:textId="77777777" w:rsidR="00E07EC5" w:rsidRPr="00E07EC5" w:rsidRDefault="00E07EC5" w:rsidP="000819F9">
            <w:pPr>
              <w:autoSpaceDE w:val="0"/>
              <w:autoSpaceDN w:val="0"/>
              <w:adjustRightInd w:val="0"/>
              <w:ind w:left="60" w:right="60"/>
              <w:jc w:val="right"/>
              <w:rPr>
                <w:rFonts w:ascii="Arial" w:hAnsi="Arial" w:cs="Arial"/>
                <w:color w:val="000000"/>
                <w:kern w:val="0"/>
                <w:sz w:val="18"/>
                <w:szCs w:val="18"/>
              </w:rPr>
            </w:pPr>
            <w:r w:rsidRPr="00E07EC5">
              <w:rPr>
                <w:rFonts w:ascii="Arial" w:hAnsi="Arial" w:cs="Arial"/>
                <w:color w:val="000000"/>
                <w:kern w:val="0"/>
                <w:sz w:val="18"/>
                <w:szCs w:val="18"/>
              </w:rPr>
              <w:t>98.0</w:t>
            </w:r>
          </w:p>
        </w:tc>
        <w:tc>
          <w:tcPr>
            <w:tcW w:w="1398" w:type="dxa"/>
            <w:tcBorders>
              <w:top w:val="nil"/>
              <w:bottom w:val="nil"/>
            </w:tcBorders>
            <w:shd w:val="clear" w:color="auto" w:fill="FFFFFF"/>
            <w:vAlign w:val="center"/>
          </w:tcPr>
          <w:p w14:paraId="5D1B7F77" w14:textId="77777777" w:rsidR="00E07EC5" w:rsidRPr="00E07EC5" w:rsidRDefault="00E07EC5" w:rsidP="000819F9">
            <w:pPr>
              <w:autoSpaceDE w:val="0"/>
              <w:autoSpaceDN w:val="0"/>
              <w:adjustRightInd w:val="0"/>
              <w:ind w:left="60" w:right="60"/>
              <w:jc w:val="right"/>
              <w:rPr>
                <w:rFonts w:ascii="Arial" w:hAnsi="Arial" w:cs="Arial"/>
                <w:color w:val="000000"/>
                <w:kern w:val="0"/>
                <w:sz w:val="18"/>
                <w:szCs w:val="18"/>
              </w:rPr>
            </w:pPr>
            <w:r w:rsidRPr="00E07EC5">
              <w:rPr>
                <w:rFonts w:ascii="Arial" w:hAnsi="Arial" w:cs="Arial"/>
                <w:color w:val="000000"/>
                <w:kern w:val="0"/>
                <w:sz w:val="18"/>
                <w:szCs w:val="18"/>
              </w:rPr>
              <w:t>98.0</w:t>
            </w:r>
          </w:p>
        </w:tc>
        <w:tc>
          <w:tcPr>
            <w:tcW w:w="1475" w:type="dxa"/>
            <w:tcBorders>
              <w:top w:val="nil"/>
              <w:bottom w:val="nil"/>
              <w:right w:val="single" w:sz="16" w:space="0" w:color="000000"/>
            </w:tcBorders>
            <w:shd w:val="clear" w:color="auto" w:fill="FFFFFF"/>
            <w:vAlign w:val="center"/>
          </w:tcPr>
          <w:p w14:paraId="02F5CFE7" w14:textId="77777777" w:rsidR="00E07EC5" w:rsidRPr="00E07EC5" w:rsidRDefault="00E07EC5" w:rsidP="000819F9">
            <w:pPr>
              <w:autoSpaceDE w:val="0"/>
              <w:autoSpaceDN w:val="0"/>
              <w:adjustRightInd w:val="0"/>
              <w:ind w:left="60" w:right="60"/>
              <w:jc w:val="right"/>
              <w:rPr>
                <w:rFonts w:ascii="Arial" w:hAnsi="Arial" w:cs="Arial"/>
                <w:color w:val="000000"/>
                <w:kern w:val="0"/>
                <w:sz w:val="18"/>
                <w:szCs w:val="18"/>
              </w:rPr>
            </w:pPr>
            <w:r w:rsidRPr="00E07EC5">
              <w:rPr>
                <w:rFonts w:ascii="Arial" w:hAnsi="Arial" w:cs="Arial"/>
                <w:color w:val="000000"/>
                <w:kern w:val="0"/>
                <w:sz w:val="18"/>
                <w:szCs w:val="18"/>
              </w:rPr>
              <w:t>100.0</w:t>
            </w:r>
          </w:p>
        </w:tc>
      </w:tr>
      <w:tr w:rsidR="00E07EC5" w:rsidRPr="00E07EC5" w14:paraId="7A4145E2"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3C61C82E" w14:textId="77777777" w:rsidR="00E07EC5" w:rsidRPr="00E07EC5" w:rsidRDefault="00E07EC5" w:rsidP="000819F9">
            <w:pPr>
              <w:autoSpaceDE w:val="0"/>
              <w:autoSpaceDN w:val="0"/>
              <w:adjustRightInd w:val="0"/>
              <w:jc w:val="left"/>
              <w:rPr>
                <w:rFonts w:ascii="Arial" w:hAnsi="Arial" w:cs="Arial"/>
                <w:color w:val="000000"/>
                <w:kern w:val="0"/>
                <w:sz w:val="18"/>
                <w:szCs w:val="18"/>
              </w:rPr>
            </w:pPr>
          </w:p>
        </w:tc>
        <w:tc>
          <w:tcPr>
            <w:tcW w:w="737" w:type="dxa"/>
            <w:tcBorders>
              <w:top w:val="nil"/>
              <w:left w:val="nil"/>
              <w:bottom w:val="single" w:sz="16" w:space="0" w:color="000000"/>
              <w:right w:val="single" w:sz="16" w:space="0" w:color="000000"/>
            </w:tcBorders>
            <w:shd w:val="clear" w:color="auto" w:fill="FFFFFF"/>
          </w:tcPr>
          <w:p w14:paraId="0E496714" w14:textId="77777777" w:rsidR="00E07EC5" w:rsidRPr="00E07EC5" w:rsidRDefault="00E07EC5" w:rsidP="000819F9">
            <w:pPr>
              <w:autoSpaceDE w:val="0"/>
              <w:autoSpaceDN w:val="0"/>
              <w:adjustRightInd w:val="0"/>
              <w:ind w:left="60" w:right="60"/>
              <w:jc w:val="left"/>
              <w:rPr>
                <w:rFonts w:ascii="Arial" w:hAnsi="Arial" w:cs="Arial"/>
                <w:color w:val="000000"/>
                <w:kern w:val="0"/>
                <w:sz w:val="18"/>
                <w:szCs w:val="18"/>
              </w:rPr>
            </w:pPr>
            <w:r w:rsidRPr="00E07EC5">
              <w:rPr>
                <w:rFonts w:ascii="Arial" w:hAnsi="Arial" w:cs="Arial"/>
                <w:color w:val="000000"/>
                <w:kern w:val="0"/>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31041FFE" w14:textId="77777777" w:rsidR="00E07EC5" w:rsidRPr="00E07EC5" w:rsidRDefault="00E07EC5" w:rsidP="000819F9">
            <w:pPr>
              <w:autoSpaceDE w:val="0"/>
              <w:autoSpaceDN w:val="0"/>
              <w:adjustRightInd w:val="0"/>
              <w:ind w:left="60" w:right="60"/>
              <w:jc w:val="right"/>
              <w:rPr>
                <w:rFonts w:ascii="Arial" w:hAnsi="Arial" w:cs="Arial"/>
                <w:color w:val="000000"/>
                <w:kern w:val="0"/>
                <w:sz w:val="18"/>
                <w:szCs w:val="18"/>
              </w:rPr>
            </w:pPr>
            <w:r w:rsidRPr="00E07EC5">
              <w:rPr>
                <w:rFonts w:ascii="Arial" w:hAnsi="Arial" w:cs="Arial"/>
                <w:color w:val="000000"/>
                <w:kern w:val="0"/>
                <w:sz w:val="18"/>
                <w:szCs w:val="18"/>
              </w:rPr>
              <w:t>100</w:t>
            </w:r>
          </w:p>
        </w:tc>
        <w:tc>
          <w:tcPr>
            <w:tcW w:w="1029" w:type="dxa"/>
            <w:tcBorders>
              <w:top w:val="nil"/>
              <w:bottom w:val="single" w:sz="16" w:space="0" w:color="000000"/>
            </w:tcBorders>
            <w:shd w:val="clear" w:color="auto" w:fill="FFFFFF"/>
            <w:vAlign w:val="center"/>
          </w:tcPr>
          <w:p w14:paraId="064C0FD2" w14:textId="77777777" w:rsidR="00E07EC5" w:rsidRPr="00E07EC5" w:rsidRDefault="00E07EC5" w:rsidP="000819F9">
            <w:pPr>
              <w:autoSpaceDE w:val="0"/>
              <w:autoSpaceDN w:val="0"/>
              <w:adjustRightInd w:val="0"/>
              <w:ind w:left="60" w:right="60"/>
              <w:jc w:val="right"/>
              <w:rPr>
                <w:rFonts w:ascii="Arial" w:hAnsi="Arial" w:cs="Arial"/>
                <w:color w:val="000000"/>
                <w:kern w:val="0"/>
                <w:sz w:val="18"/>
                <w:szCs w:val="18"/>
              </w:rPr>
            </w:pPr>
            <w:r w:rsidRPr="00E07EC5">
              <w:rPr>
                <w:rFonts w:ascii="Arial" w:hAnsi="Arial" w:cs="Arial"/>
                <w:color w:val="000000"/>
                <w:kern w:val="0"/>
                <w:sz w:val="18"/>
                <w:szCs w:val="18"/>
              </w:rPr>
              <w:t>100.0</w:t>
            </w:r>
          </w:p>
        </w:tc>
        <w:tc>
          <w:tcPr>
            <w:tcW w:w="1398" w:type="dxa"/>
            <w:tcBorders>
              <w:top w:val="nil"/>
              <w:bottom w:val="single" w:sz="16" w:space="0" w:color="000000"/>
            </w:tcBorders>
            <w:shd w:val="clear" w:color="auto" w:fill="FFFFFF"/>
            <w:vAlign w:val="center"/>
          </w:tcPr>
          <w:p w14:paraId="2F0795C6" w14:textId="77777777" w:rsidR="00E07EC5" w:rsidRPr="00E07EC5" w:rsidRDefault="00E07EC5" w:rsidP="000819F9">
            <w:pPr>
              <w:autoSpaceDE w:val="0"/>
              <w:autoSpaceDN w:val="0"/>
              <w:adjustRightInd w:val="0"/>
              <w:ind w:left="60" w:right="60"/>
              <w:jc w:val="right"/>
              <w:rPr>
                <w:rFonts w:ascii="Arial" w:hAnsi="Arial" w:cs="Arial"/>
                <w:color w:val="000000"/>
                <w:kern w:val="0"/>
                <w:sz w:val="18"/>
                <w:szCs w:val="18"/>
              </w:rPr>
            </w:pPr>
            <w:r w:rsidRPr="00E07EC5">
              <w:rPr>
                <w:rFonts w:ascii="Arial" w:hAnsi="Arial" w:cs="Arial"/>
                <w:color w:val="000000"/>
                <w:kern w:val="0"/>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5109A665" w14:textId="77777777" w:rsidR="00E07EC5" w:rsidRPr="00E07EC5" w:rsidRDefault="00E07EC5" w:rsidP="000819F9">
            <w:pPr>
              <w:autoSpaceDE w:val="0"/>
              <w:autoSpaceDN w:val="0"/>
              <w:adjustRightInd w:val="0"/>
              <w:jc w:val="left"/>
              <w:rPr>
                <w:rFonts w:ascii="Times New Roman" w:hAnsi="Times New Roman" w:cs="Times New Roman"/>
                <w:kern w:val="0"/>
                <w:sz w:val="24"/>
                <w:szCs w:val="24"/>
              </w:rPr>
            </w:pPr>
          </w:p>
        </w:tc>
      </w:tr>
    </w:tbl>
    <w:p w14:paraId="5DD82D88" w14:textId="77777777" w:rsidR="00AC5BA5" w:rsidRDefault="00AC5BA5" w:rsidP="000819F9">
      <w:pPr>
        <w:autoSpaceDE w:val="0"/>
        <w:autoSpaceDN w:val="0"/>
        <w:adjustRightInd w:val="0"/>
        <w:jc w:val="left"/>
        <w:rPr>
          <w:rFonts w:ascii="Times New Roman" w:hAnsi="Times New Roman" w:cs="Times New Roman"/>
          <w:kern w:val="0"/>
          <w:sz w:val="24"/>
          <w:szCs w:val="24"/>
        </w:rPr>
      </w:pPr>
    </w:p>
    <w:p w14:paraId="41B0B19C" w14:textId="77777777" w:rsidR="00AC5BA5" w:rsidRDefault="00AC5BA5" w:rsidP="000819F9">
      <w:pPr>
        <w:autoSpaceDE w:val="0"/>
        <w:autoSpaceDN w:val="0"/>
        <w:adjustRightInd w:val="0"/>
        <w:jc w:val="left"/>
        <w:rPr>
          <w:rFonts w:ascii="Times New Roman" w:hAnsi="Times New Roman" w:cs="Times New Roman"/>
          <w:kern w:val="0"/>
          <w:sz w:val="24"/>
          <w:szCs w:val="24"/>
        </w:rPr>
      </w:pPr>
    </w:p>
    <w:p w14:paraId="44BF3691" w14:textId="2FB055EE" w:rsidR="00BE21FE" w:rsidRDefault="006026E3" w:rsidP="0015047F">
      <w:pPr>
        <w:autoSpaceDE w:val="0"/>
        <w:autoSpaceDN w:val="0"/>
        <w:adjustRightInd w:val="0"/>
        <w:spacing w:line="480" w:lineRule="auto"/>
        <w:jc w:val="left"/>
        <w:rPr>
          <w:rFonts w:ascii="Times New Roman" w:hAnsi="Times New Roman" w:cs="Times New Roman"/>
          <w:kern w:val="0"/>
          <w:sz w:val="24"/>
          <w:szCs w:val="24"/>
        </w:rPr>
      </w:pPr>
      <w:r w:rsidRPr="006026E3">
        <w:rPr>
          <w:rFonts w:ascii="Times New Roman" w:hAnsi="Times New Roman" w:cs="Times New Roman"/>
          <w:kern w:val="0"/>
          <w:sz w:val="24"/>
          <w:szCs w:val="24"/>
        </w:rPr>
        <w:t>Question 13 (Confidence Supporting GBV Survivors): The table for this question reveals that an overwhelming majority of social workers (98 out of 100, or 98%) feel confident in their ability to support survivors of GBV. This support includes practical actions like helping survivors make safety plans or connecting them to other services. Only 2 people (2%) reported lacking this confidence. This extremely high confidence level is a very positive sign. It strongly suggests that the specialized GBV training most received (96% in Question 12) is effectively equipping them with the practical skills and assurance they need to work directly with survivors. Feeling confident is essential for providing competent, sensitive, and effective help during such critical situations.</w:t>
      </w:r>
    </w:p>
    <w:p w14:paraId="052F6015" w14:textId="77777777" w:rsidR="00BE21FE" w:rsidRDefault="00BE21FE" w:rsidP="00E33C25">
      <w:pPr>
        <w:autoSpaceDE w:val="0"/>
        <w:autoSpaceDN w:val="0"/>
        <w:adjustRightInd w:val="0"/>
        <w:spacing w:line="240" w:lineRule="auto"/>
        <w:jc w:val="left"/>
        <w:rPr>
          <w:rFonts w:ascii="Times New Roman" w:hAnsi="Times New Roman" w:cs="Times New Roman"/>
          <w:kern w:val="0"/>
          <w:sz w:val="24"/>
          <w:szCs w:val="24"/>
        </w:rPr>
      </w:pPr>
    </w:p>
    <w:p w14:paraId="73ED6B91" w14:textId="77777777" w:rsidR="00BE21FE" w:rsidRDefault="00BE21FE" w:rsidP="00E33C25">
      <w:pPr>
        <w:autoSpaceDE w:val="0"/>
        <w:autoSpaceDN w:val="0"/>
        <w:adjustRightInd w:val="0"/>
        <w:spacing w:line="240" w:lineRule="auto"/>
        <w:jc w:val="left"/>
        <w:rPr>
          <w:rFonts w:ascii="Times New Roman" w:hAnsi="Times New Roman" w:cs="Times New Roman"/>
          <w:kern w:val="0"/>
          <w:sz w:val="24"/>
          <w:szCs w:val="24"/>
        </w:rPr>
      </w:pPr>
    </w:p>
    <w:p w14:paraId="3FD329DE" w14:textId="77777777" w:rsidR="00BE21FE" w:rsidRPr="00E33C25" w:rsidRDefault="00BE21FE" w:rsidP="00E33C25">
      <w:pPr>
        <w:autoSpaceDE w:val="0"/>
        <w:autoSpaceDN w:val="0"/>
        <w:adjustRightInd w:val="0"/>
        <w:spacing w:line="240" w:lineRule="auto"/>
        <w:jc w:val="left"/>
        <w:rPr>
          <w:rFonts w:ascii="Times New Roman" w:hAnsi="Times New Roman" w:cs="Times New Roman"/>
          <w:kern w:val="0"/>
          <w:sz w:val="24"/>
          <w:szCs w:val="24"/>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E33C25" w:rsidRPr="00E33C25" w14:paraId="0F39329F" w14:textId="77777777">
        <w:trPr>
          <w:cantSplit/>
        </w:trPr>
        <w:tc>
          <w:tcPr>
            <w:tcW w:w="6544" w:type="dxa"/>
            <w:gridSpan w:val="6"/>
            <w:tcBorders>
              <w:top w:val="nil"/>
              <w:left w:val="nil"/>
              <w:bottom w:val="nil"/>
              <w:right w:val="nil"/>
            </w:tcBorders>
            <w:shd w:val="clear" w:color="auto" w:fill="FFFFFF"/>
            <w:vAlign w:val="center"/>
          </w:tcPr>
          <w:p w14:paraId="5867551E" w14:textId="77777777" w:rsidR="00E33C25" w:rsidRPr="00E33C25" w:rsidRDefault="00E33C25" w:rsidP="00E33C25">
            <w:pPr>
              <w:autoSpaceDE w:val="0"/>
              <w:autoSpaceDN w:val="0"/>
              <w:adjustRightInd w:val="0"/>
              <w:spacing w:line="320" w:lineRule="atLeast"/>
              <w:ind w:left="60" w:right="60"/>
              <w:jc w:val="center"/>
              <w:rPr>
                <w:rFonts w:ascii="Arial" w:hAnsi="Arial" w:cs="Arial"/>
                <w:color w:val="000000"/>
                <w:kern w:val="0"/>
                <w:sz w:val="18"/>
                <w:szCs w:val="18"/>
              </w:rPr>
            </w:pPr>
            <w:r w:rsidRPr="00E33C25">
              <w:rPr>
                <w:rFonts w:ascii="Arial" w:hAnsi="Arial" w:cs="Arial"/>
                <w:b/>
                <w:bCs/>
                <w:color w:val="000000"/>
                <w:kern w:val="0"/>
                <w:sz w:val="18"/>
                <w:szCs w:val="18"/>
              </w:rPr>
              <w:t>14. Do you believe GBV is a systemic issue requiring policy-level interventions, 1t just individual solutions?</w:t>
            </w:r>
          </w:p>
        </w:tc>
      </w:tr>
      <w:tr w:rsidR="00E33C25" w:rsidRPr="00E33C25" w14:paraId="15D0ED1B" w14:textId="77777777">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2057C59F" w14:textId="77777777" w:rsidR="00E33C25" w:rsidRPr="00E33C25" w:rsidRDefault="00E33C25" w:rsidP="00E33C25">
            <w:pPr>
              <w:autoSpaceDE w:val="0"/>
              <w:autoSpaceDN w:val="0"/>
              <w:adjustRightInd w:val="0"/>
              <w:spacing w:line="240" w:lineRule="auto"/>
              <w:jc w:val="left"/>
              <w:rPr>
                <w:rFonts w:ascii="Times New Roman" w:hAnsi="Times New Roman" w:cs="Times New Roman"/>
                <w:kern w:val="0"/>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14:paraId="62451FA7" w14:textId="77777777" w:rsidR="00E33C25" w:rsidRPr="00E33C25" w:rsidRDefault="00E33C25" w:rsidP="00E33C25">
            <w:pPr>
              <w:autoSpaceDE w:val="0"/>
              <w:autoSpaceDN w:val="0"/>
              <w:adjustRightInd w:val="0"/>
              <w:spacing w:line="320" w:lineRule="atLeast"/>
              <w:ind w:left="60" w:right="60"/>
              <w:jc w:val="center"/>
              <w:rPr>
                <w:rFonts w:ascii="Arial" w:hAnsi="Arial" w:cs="Arial"/>
                <w:color w:val="000000"/>
                <w:kern w:val="0"/>
                <w:sz w:val="18"/>
                <w:szCs w:val="18"/>
              </w:rPr>
            </w:pPr>
            <w:r w:rsidRPr="00E33C25">
              <w:rPr>
                <w:rFonts w:ascii="Arial" w:hAnsi="Arial" w:cs="Arial"/>
                <w:color w:val="000000"/>
                <w:kern w:val="0"/>
                <w:sz w:val="18"/>
                <w:szCs w:val="18"/>
              </w:rPr>
              <w:t>Frequency</w:t>
            </w:r>
          </w:p>
        </w:tc>
        <w:tc>
          <w:tcPr>
            <w:tcW w:w="1029" w:type="dxa"/>
            <w:tcBorders>
              <w:top w:val="single" w:sz="16" w:space="0" w:color="000000"/>
              <w:bottom w:val="single" w:sz="16" w:space="0" w:color="000000"/>
            </w:tcBorders>
            <w:shd w:val="clear" w:color="auto" w:fill="FFFFFF"/>
            <w:vAlign w:val="bottom"/>
          </w:tcPr>
          <w:p w14:paraId="10DC4108" w14:textId="77777777" w:rsidR="00E33C25" w:rsidRPr="00E33C25" w:rsidRDefault="00E33C25" w:rsidP="00E33C25">
            <w:pPr>
              <w:autoSpaceDE w:val="0"/>
              <w:autoSpaceDN w:val="0"/>
              <w:adjustRightInd w:val="0"/>
              <w:spacing w:line="320" w:lineRule="atLeast"/>
              <w:ind w:left="60" w:right="60"/>
              <w:jc w:val="center"/>
              <w:rPr>
                <w:rFonts w:ascii="Arial" w:hAnsi="Arial" w:cs="Arial"/>
                <w:color w:val="000000"/>
                <w:kern w:val="0"/>
                <w:sz w:val="18"/>
                <w:szCs w:val="18"/>
              </w:rPr>
            </w:pPr>
            <w:r w:rsidRPr="00E33C25">
              <w:rPr>
                <w:rFonts w:ascii="Arial" w:hAnsi="Arial" w:cs="Arial"/>
                <w:color w:val="000000"/>
                <w:kern w:val="0"/>
                <w:sz w:val="18"/>
                <w:szCs w:val="18"/>
              </w:rPr>
              <w:t>Percent</w:t>
            </w:r>
          </w:p>
        </w:tc>
        <w:tc>
          <w:tcPr>
            <w:tcW w:w="1398" w:type="dxa"/>
            <w:tcBorders>
              <w:top w:val="single" w:sz="16" w:space="0" w:color="000000"/>
              <w:bottom w:val="single" w:sz="16" w:space="0" w:color="000000"/>
            </w:tcBorders>
            <w:shd w:val="clear" w:color="auto" w:fill="FFFFFF"/>
            <w:vAlign w:val="bottom"/>
          </w:tcPr>
          <w:p w14:paraId="6CB790F1" w14:textId="77777777" w:rsidR="00E33C25" w:rsidRPr="00E33C25" w:rsidRDefault="00E33C25" w:rsidP="00E33C25">
            <w:pPr>
              <w:autoSpaceDE w:val="0"/>
              <w:autoSpaceDN w:val="0"/>
              <w:adjustRightInd w:val="0"/>
              <w:spacing w:line="320" w:lineRule="atLeast"/>
              <w:ind w:left="60" w:right="60"/>
              <w:jc w:val="center"/>
              <w:rPr>
                <w:rFonts w:ascii="Arial" w:hAnsi="Arial" w:cs="Arial"/>
                <w:color w:val="000000"/>
                <w:kern w:val="0"/>
                <w:sz w:val="18"/>
                <w:szCs w:val="18"/>
              </w:rPr>
            </w:pPr>
            <w:r w:rsidRPr="00E33C25">
              <w:rPr>
                <w:rFonts w:ascii="Arial" w:hAnsi="Arial" w:cs="Arial"/>
                <w:color w:val="000000"/>
                <w:kern w:val="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594060DD" w14:textId="77777777" w:rsidR="00E33C25" w:rsidRPr="00E33C25" w:rsidRDefault="00E33C25" w:rsidP="00E33C25">
            <w:pPr>
              <w:autoSpaceDE w:val="0"/>
              <w:autoSpaceDN w:val="0"/>
              <w:adjustRightInd w:val="0"/>
              <w:spacing w:line="320" w:lineRule="atLeast"/>
              <w:ind w:left="60" w:right="60"/>
              <w:jc w:val="center"/>
              <w:rPr>
                <w:rFonts w:ascii="Arial" w:hAnsi="Arial" w:cs="Arial"/>
                <w:color w:val="000000"/>
                <w:kern w:val="0"/>
                <w:sz w:val="18"/>
                <w:szCs w:val="18"/>
              </w:rPr>
            </w:pPr>
            <w:r w:rsidRPr="00E33C25">
              <w:rPr>
                <w:rFonts w:ascii="Arial" w:hAnsi="Arial" w:cs="Arial"/>
                <w:color w:val="000000"/>
                <w:kern w:val="0"/>
                <w:sz w:val="18"/>
                <w:szCs w:val="18"/>
              </w:rPr>
              <w:t>Cumulative Percent</w:t>
            </w:r>
          </w:p>
        </w:tc>
      </w:tr>
      <w:tr w:rsidR="00E33C25" w:rsidRPr="00E33C25" w14:paraId="5FE8EA80" w14:textId="77777777">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0B24F117" w14:textId="77777777" w:rsidR="00E33C25" w:rsidRPr="00E33C25" w:rsidRDefault="00E33C25" w:rsidP="00E33C25">
            <w:pPr>
              <w:autoSpaceDE w:val="0"/>
              <w:autoSpaceDN w:val="0"/>
              <w:adjustRightInd w:val="0"/>
              <w:spacing w:line="320" w:lineRule="atLeast"/>
              <w:ind w:left="60" w:right="60"/>
              <w:jc w:val="left"/>
              <w:rPr>
                <w:rFonts w:ascii="Arial" w:hAnsi="Arial" w:cs="Arial"/>
                <w:color w:val="000000"/>
                <w:kern w:val="0"/>
                <w:sz w:val="18"/>
                <w:szCs w:val="18"/>
              </w:rPr>
            </w:pPr>
            <w:r w:rsidRPr="00E33C25">
              <w:rPr>
                <w:rFonts w:ascii="Arial" w:hAnsi="Arial" w:cs="Arial"/>
                <w:color w:val="000000"/>
                <w:kern w:val="0"/>
                <w:sz w:val="18"/>
                <w:szCs w:val="18"/>
              </w:rPr>
              <w:t>Valid</w:t>
            </w:r>
          </w:p>
        </w:tc>
        <w:tc>
          <w:tcPr>
            <w:tcW w:w="737" w:type="dxa"/>
            <w:tcBorders>
              <w:top w:val="single" w:sz="16" w:space="0" w:color="000000"/>
              <w:left w:val="nil"/>
              <w:bottom w:val="nil"/>
              <w:right w:val="single" w:sz="16" w:space="0" w:color="000000"/>
            </w:tcBorders>
            <w:shd w:val="clear" w:color="auto" w:fill="FFFFFF"/>
          </w:tcPr>
          <w:p w14:paraId="2341AF63" w14:textId="77777777" w:rsidR="00E33C25" w:rsidRPr="00E33C25" w:rsidRDefault="00E33C25" w:rsidP="00E33C25">
            <w:pPr>
              <w:autoSpaceDE w:val="0"/>
              <w:autoSpaceDN w:val="0"/>
              <w:adjustRightInd w:val="0"/>
              <w:spacing w:line="320" w:lineRule="atLeast"/>
              <w:ind w:left="60" w:right="60"/>
              <w:jc w:val="left"/>
              <w:rPr>
                <w:rFonts w:ascii="Arial" w:hAnsi="Arial" w:cs="Arial"/>
                <w:color w:val="000000"/>
                <w:kern w:val="0"/>
                <w:sz w:val="18"/>
                <w:szCs w:val="18"/>
              </w:rPr>
            </w:pPr>
            <w:r w:rsidRPr="00E33C25">
              <w:rPr>
                <w:rFonts w:ascii="Arial" w:hAnsi="Arial" w:cs="Arial"/>
                <w:color w:val="000000"/>
                <w:kern w:val="0"/>
                <w:sz w:val="18"/>
                <w:szCs w:val="18"/>
              </w:rPr>
              <w:t>No</w:t>
            </w:r>
          </w:p>
        </w:tc>
        <w:tc>
          <w:tcPr>
            <w:tcW w:w="1168" w:type="dxa"/>
            <w:tcBorders>
              <w:top w:val="single" w:sz="16" w:space="0" w:color="000000"/>
              <w:left w:val="single" w:sz="16" w:space="0" w:color="000000"/>
              <w:bottom w:val="nil"/>
            </w:tcBorders>
            <w:shd w:val="clear" w:color="auto" w:fill="FFFFFF"/>
            <w:vAlign w:val="center"/>
          </w:tcPr>
          <w:p w14:paraId="29F22D00" w14:textId="77777777" w:rsidR="00E33C25" w:rsidRPr="00E33C25" w:rsidRDefault="00E33C25" w:rsidP="00E33C25">
            <w:pPr>
              <w:autoSpaceDE w:val="0"/>
              <w:autoSpaceDN w:val="0"/>
              <w:adjustRightInd w:val="0"/>
              <w:spacing w:line="320" w:lineRule="atLeast"/>
              <w:ind w:left="60" w:right="60"/>
              <w:jc w:val="right"/>
              <w:rPr>
                <w:rFonts w:ascii="Arial" w:hAnsi="Arial" w:cs="Arial"/>
                <w:color w:val="000000"/>
                <w:kern w:val="0"/>
                <w:sz w:val="18"/>
                <w:szCs w:val="18"/>
              </w:rPr>
            </w:pPr>
            <w:r w:rsidRPr="00E33C25">
              <w:rPr>
                <w:rFonts w:ascii="Arial" w:hAnsi="Arial" w:cs="Arial"/>
                <w:color w:val="000000"/>
                <w:kern w:val="0"/>
                <w:sz w:val="18"/>
                <w:szCs w:val="18"/>
              </w:rPr>
              <w:t>1</w:t>
            </w:r>
          </w:p>
        </w:tc>
        <w:tc>
          <w:tcPr>
            <w:tcW w:w="1029" w:type="dxa"/>
            <w:tcBorders>
              <w:top w:val="single" w:sz="16" w:space="0" w:color="000000"/>
              <w:bottom w:val="nil"/>
            </w:tcBorders>
            <w:shd w:val="clear" w:color="auto" w:fill="FFFFFF"/>
            <w:vAlign w:val="center"/>
          </w:tcPr>
          <w:p w14:paraId="4AB53024" w14:textId="77777777" w:rsidR="00E33C25" w:rsidRPr="00E33C25" w:rsidRDefault="00E33C25" w:rsidP="00E33C25">
            <w:pPr>
              <w:autoSpaceDE w:val="0"/>
              <w:autoSpaceDN w:val="0"/>
              <w:adjustRightInd w:val="0"/>
              <w:spacing w:line="320" w:lineRule="atLeast"/>
              <w:ind w:left="60" w:right="60"/>
              <w:jc w:val="right"/>
              <w:rPr>
                <w:rFonts w:ascii="Arial" w:hAnsi="Arial" w:cs="Arial"/>
                <w:color w:val="000000"/>
                <w:kern w:val="0"/>
                <w:sz w:val="18"/>
                <w:szCs w:val="18"/>
              </w:rPr>
            </w:pPr>
            <w:r w:rsidRPr="00E33C25">
              <w:rPr>
                <w:rFonts w:ascii="Arial" w:hAnsi="Arial" w:cs="Arial"/>
                <w:color w:val="000000"/>
                <w:kern w:val="0"/>
                <w:sz w:val="18"/>
                <w:szCs w:val="18"/>
              </w:rPr>
              <w:t>1.0</w:t>
            </w:r>
          </w:p>
        </w:tc>
        <w:tc>
          <w:tcPr>
            <w:tcW w:w="1398" w:type="dxa"/>
            <w:tcBorders>
              <w:top w:val="single" w:sz="16" w:space="0" w:color="000000"/>
              <w:bottom w:val="nil"/>
            </w:tcBorders>
            <w:shd w:val="clear" w:color="auto" w:fill="FFFFFF"/>
            <w:vAlign w:val="center"/>
          </w:tcPr>
          <w:p w14:paraId="2404B86F" w14:textId="77777777" w:rsidR="00E33C25" w:rsidRPr="00E33C25" w:rsidRDefault="00E33C25" w:rsidP="00E33C25">
            <w:pPr>
              <w:autoSpaceDE w:val="0"/>
              <w:autoSpaceDN w:val="0"/>
              <w:adjustRightInd w:val="0"/>
              <w:spacing w:line="320" w:lineRule="atLeast"/>
              <w:ind w:left="60" w:right="60"/>
              <w:jc w:val="right"/>
              <w:rPr>
                <w:rFonts w:ascii="Arial" w:hAnsi="Arial" w:cs="Arial"/>
                <w:color w:val="000000"/>
                <w:kern w:val="0"/>
                <w:sz w:val="18"/>
                <w:szCs w:val="18"/>
              </w:rPr>
            </w:pPr>
            <w:r w:rsidRPr="00E33C25">
              <w:rPr>
                <w:rFonts w:ascii="Arial" w:hAnsi="Arial" w:cs="Arial"/>
                <w:color w:val="000000"/>
                <w:kern w:val="0"/>
                <w:sz w:val="18"/>
                <w:szCs w:val="18"/>
              </w:rPr>
              <w:t>1.0</w:t>
            </w:r>
          </w:p>
        </w:tc>
        <w:tc>
          <w:tcPr>
            <w:tcW w:w="1475" w:type="dxa"/>
            <w:tcBorders>
              <w:top w:val="single" w:sz="16" w:space="0" w:color="000000"/>
              <w:bottom w:val="nil"/>
              <w:right w:val="single" w:sz="16" w:space="0" w:color="000000"/>
            </w:tcBorders>
            <w:shd w:val="clear" w:color="auto" w:fill="FFFFFF"/>
            <w:vAlign w:val="center"/>
          </w:tcPr>
          <w:p w14:paraId="64244E9E" w14:textId="77777777" w:rsidR="00E33C25" w:rsidRPr="00E33C25" w:rsidRDefault="00E33C25" w:rsidP="00E33C25">
            <w:pPr>
              <w:autoSpaceDE w:val="0"/>
              <w:autoSpaceDN w:val="0"/>
              <w:adjustRightInd w:val="0"/>
              <w:spacing w:line="320" w:lineRule="atLeast"/>
              <w:ind w:left="60" w:right="60"/>
              <w:jc w:val="right"/>
              <w:rPr>
                <w:rFonts w:ascii="Arial" w:hAnsi="Arial" w:cs="Arial"/>
                <w:color w:val="000000"/>
                <w:kern w:val="0"/>
                <w:sz w:val="18"/>
                <w:szCs w:val="18"/>
              </w:rPr>
            </w:pPr>
            <w:r w:rsidRPr="00E33C25">
              <w:rPr>
                <w:rFonts w:ascii="Arial" w:hAnsi="Arial" w:cs="Arial"/>
                <w:color w:val="000000"/>
                <w:kern w:val="0"/>
                <w:sz w:val="18"/>
                <w:szCs w:val="18"/>
              </w:rPr>
              <w:t>1.0</w:t>
            </w:r>
          </w:p>
        </w:tc>
      </w:tr>
      <w:tr w:rsidR="00E33C25" w:rsidRPr="00E33C25" w14:paraId="5DA6B5CC"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57907F2" w14:textId="77777777" w:rsidR="00E33C25" w:rsidRPr="00E33C25" w:rsidRDefault="00E33C25" w:rsidP="00E33C25">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nil"/>
              <w:right w:val="single" w:sz="16" w:space="0" w:color="000000"/>
            </w:tcBorders>
            <w:shd w:val="clear" w:color="auto" w:fill="FFFFFF"/>
          </w:tcPr>
          <w:p w14:paraId="0F32816B" w14:textId="77777777" w:rsidR="00E33C25" w:rsidRPr="00E33C25" w:rsidRDefault="00E33C25" w:rsidP="00E33C25">
            <w:pPr>
              <w:autoSpaceDE w:val="0"/>
              <w:autoSpaceDN w:val="0"/>
              <w:adjustRightInd w:val="0"/>
              <w:spacing w:line="320" w:lineRule="atLeast"/>
              <w:ind w:left="60" w:right="60"/>
              <w:jc w:val="left"/>
              <w:rPr>
                <w:rFonts w:ascii="Arial" w:hAnsi="Arial" w:cs="Arial"/>
                <w:color w:val="000000"/>
                <w:kern w:val="0"/>
                <w:sz w:val="18"/>
                <w:szCs w:val="18"/>
              </w:rPr>
            </w:pPr>
            <w:r w:rsidRPr="00E33C25">
              <w:rPr>
                <w:rFonts w:ascii="Arial" w:hAnsi="Arial" w:cs="Arial"/>
                <w:color w:val="000000"/>
                <w:kern w:val="0"/>
                <w:sz w:val="18"/>
                <w:szCs w:val="18"/>
              </w:rPr>
              <w:t>Yes</w:t>
            </w:r>
          </w:p>
        </w:tc>
        <w:tc>
          <w:tcPr>
            <w:tcW w:w="1168" w:type="dxa"/>
            <w:tcBorders>
              <w:top w:val="nil"/>
              <w:left w:val="single" w:sz="16" w:space="0" w:color="000000"/>
              <w:bottom w:val="nil"/>
            </w:tcBorders>
            <w:shd w:val="clear" w:color="auto" w:fill="FFFFFF"/>
            <w:vAlign w:val="center"/>
          </w:tcPr>
          <w:p w14:paraId="1F9BA9AF" w14:textId="77777777" w:rsidR="00E33C25" w:rsidRPr="00E33C25" w:rsidRDefault="00E33C25" w:rsidP="00E33C25">
            <w:pPr>
              <w:autoSpaceDE w:val="0"/>
              <w:autoSpaceDN w:val="0"/>
              <w:adjustRightInd w:val="0"/>
              <w:spacing w:line="320" w:lineRule="atLeast"/>
              <w:ind w:left="60" w:right="60"/>
              <w:jc w:val="right"/>
              <w:rPr>
                <w:rFonts w:ascii="Arial" w:hAnsi="Arial" w:cs="Arial"/>
                <w:color w:val="000000"/>
                <w:kern w:val="0"/>
                <w:sz w:val="18"/>
                <w:szCs w:val="18"/>
              </w:rPr>
            </w:pPr>
            <w:r w:rsidRPr="00E33C25">
              <w:rPr>
                <w:rFonts w:ascii="Arial" w:hAnsi="Arial" w:cs="Arial"/>
                <w:color w:val="000000"/>
                <w:kern w:val="0"/>
                <w:sz w:val="18"/>
                <w:szCs w:val="18"/>
              </w:rPr>
              <w:t>99</w:t>
            </w:r>
          </w:p>
        </w:tc>
        <w:tc>
          <w:tcPr>
            <w:tcW w:w="1029" w:type="dxa"/>
            <w:tcBorders>
              <w:top w:val="nil"/>
              <w:bottom w:val="nil"/>
            </w:tcBorders>
            <w:shd w:val="clear" w:color="auto" w:fill="FFFFFF"/>
            <w:vAlign w:val="center"/>
          </w:tcPr>
          <w:p w14:paraId="31C960D0" w14:textId="77777777" w:rsidR="00E33C25" w:rsidRPr="00E33C25" w:rsidRDefault="00E33C25" w:rsidP="00E33C25">
            <w:pPr>
              <w:autoSpaceDE w:val="0"/>
              <w:autoSpaceDN w:val="0"/>
              <w:adjustRightInd w:val="0"/>
              <w:spacing w:line="320" w:lineRule="atLeast"/>
              <w:ind w:left="60" w:right="60"/>
              <w:jc w:val="right"/>
              <w:rPr>
                <w:rFonts w:ascii="Arial" w:hAnsi="Arial" w:cs="Arial"/>
                <w:color w:val="000000"/>
                <w:kern w:val="0"/>
                <w:sz w:val="18"/>
                <w:szCs w:val="18"/>
              </w:rPr>
            </w:pPr>
            <w:r w:rsidRPr="00E33C25">
              <w:rPr>
                <w:rFonts w:ascii="Arial" w:hAnsi="Arial" w:cs="Arial"/>
                <w:color w:val="000000"/>
                <w:kern w:val="0"/>
                <w:sz w:val="18"/>
                <w:szCs w:val="18"/>
              </w:rPr>
              <w:t>99.0</w:t>
            </w:r>
          </w:p>
        </w:tc>
        <w:tc>
          <w:tcPr>
            <w:tcW w:w="1398" w:type="dxa"/>
            <w:tcBorders>
              <w:top w:val="nil"/>
              <w:bottom w:val="nil"/>
            </w:tcBorders>
            <w:shd w:val="clear" w:color="auto" w:fill="FFFFFF"/>
            <w:vAlign w:val="center"/>
          </w:tcPr>
          <w:p w14:paraId="1593D4EC" w14:textId="77777777" w:rsidR="00E33C25" w:rsidRPr="00E33C25" w:rsidRDefault="00E33C25" w:rsidP="00E33C25">
            <w:pPr>
              <w:autoSpaceDE w:val="0"/>
              <w:autoSpaceDN w:val="0"/>
              <w:adjustRightInd w:val="0"/>
              <w:spacing w:line="320" w:lineRule="atLeast"/>
              <w:ind w:left="60" w:right="60"/>
              <w:jc w:val="right"/>
              <w:rPr>
                <w:rFonts w:ascii="Arial" w:hAnsi="Arial" w:cs="Arial"/>
                <w:color w:val="000000"/>
                <w:kern w:val="0"/>
                <w:sz w:val="18"/>
                <w:szCs w:val="18"/>
              </w:rPr>
            </w:pPr>
            <w:r w:rsidRPr="00E33C25">
              <w:rPr>
                <w:rFonts w:ascii="Arial" w:hAnsi="Arial" w:cs="Arial"/>
                <w:color w:val="000000"/>
                <w:kern w:val="0"/>
                <w:sz w:val="18"/>
                <w:szCs w:val="18"/>
              </w:rPr>
              <w:t>99.0</w:t>
            </w:r>
          </w:p>
        </w:tc>
        <w:tc>
          <w:tcPr>
            <w:tcW w:w="1475" w:type="dxa"/>
            <w:tcBorders>
              <w:top w:val="nil"/>
              <w:bottom w:val="nil"/>
              <w:right w:val="single" w:sz="16" w:space="0" w:color="000000"/>
            </w:tcBorders>
            <w:shd w:val="clear" w:color="auto" w:fill="FFFFFF"/>
            <w:vAlign w:val="center"/>
          </w:tcPr>
          <w:p w14:paraId="635C0E8A" w14:textId="77777777" w:rsidR="00E33C25" w:rsidRPr="00E33C25" w:rsidRDefault="00E33C25" w:rsidP="00E33C25">
            <w:pPr>
              <w:autoSpaceDE w:val="0"/>
              <w:autoSpaceDN w:val="0"/>
              <w:adjustRightInd w:val="0"/>
              <w:spacing w:line="320" w:lineRule="atLeast"/>
              <w:ind w:left="60" w:right="60"/>
              <w:jc w:val="right"/>
              <w:rPr>
                <w:rFonts w:ascii="Arial" w:hAnsi="Arial" w:cs="Arial"/>
                <w:color w:val="000000"/>
                <w:kern w:val="0"/>
                <w:sz w:val="18"/>
                <w:szCs w:val="18"/>
              </w:rPr>
            </w:pPr>
            <w:r w:rsidRPr="00E33C25">
              <w:rPr>
                <w:rFonts w:ascii="Arial" w:hAnsi="Arial" w:cs="Arial"/>
                <w:color w:val="000000"/>
                <w:kern w:val="0"/>
                <w:sz w:val="18"/>
                <w:szCs w:val="18"/>
              </w:rPr>
              <w:t>100.0</w:t>
            </w:r>
          </w:p>
        </w:tc>
      </w:tr>
      <w:tr w:rsidR="00E33C25" w:rsidRPr="00E33C25" w14:paraId="0E53C775"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F994200" w14:textId="77777777" w:rsidR="00E33C25" w:rsidRPr="00E33C25" w:rsidRDefault="00E33C25" w:rsidP="00E33C25">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single" w:sz="16" w:space="0" w:color="000000"/>
              <w:right w:val="single" w:sz="16" w:space="0" w:color="000000"/>
            </w:tcBorders>
            <w:shd w:val="clear" w:color="auto" w:fill="FFFFFF"/>
          </w:tcPr>
          <w:p w14:paraId="1585F39D" w14:textId="77777777" w:rsidR="00E33C25" w:rsidRPr="00E33C25" w:rsidRDefault="00E33C25" w:rsidP="00E33C25">
            <w:pPr>
              <w:autoSpaceDE w:val="0"/>
              <w:autoSpaceDN w:val="0"/>
              <w:adjustRightInd w:val="0"/>
              <w:spacing w:line="320" w:lineRule="atLeast"/>
              <w:ind w:left="60" w:right="60"/>
              <w:jc w:val="left"/>
              <w:rPr>
                <w:rFonts w:ascii="Arial" w:hAnsi="Arial" w:cs="Arial"/>
                <w:color w:val="000000"/>
                <w:kern w:val="0"/>
                <w:sz w:val="18"/>
                <w:szCs w:val="18"/>
              </w:rPr>
            </w:pPr>
            <w:r w:rsidRPr="00E33C25">
              <w:rPr>
                <w:rFonts w:ascii="Arial" w:hAnsi="Arial" w:cs="Arial"/>
                <w:color w:val="000000"/>
                <w:kern w:val="0"/>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4EDF79F1" w14:textId="77777777" w:rsidR="00E33C25" w:rsidRPr="00E33C25" w:rsidRDefault="00E33C25" w:rsidP="00E33C25">
            <w:pPr>
              <w:autoSpaceDE w:val="0"/>
              <w:autoSpaceDN w:val="0"/>
              <w:adjustRightInd w:val="0"/>
              <w:spacing w:line="320" w:lineRule="atLeast"/>
              <w:ind w:left="60" w:right="60"/>
              <w:jc w:val="right"/>
              <w:rPr>
                <w:rFonts w:ascii="Arial" w:hAnsi="Arial" w:cs="Arial"/>
                <w:color w:val="000000"/>
                <w:kern w:val="0"/>
                <w:sz w:val="18"/>
                <w:szCs w:val="18"/>
              </w:rPr>
            </w:pPr>
            <w:r w:rsidRPr="00E33C25">
              <w:rPr>
                <w:rFonts w:ascii="Arial" w:hAnsi="Arial" w:cs="Arial"/>
                <w:color w:val="000000"/>
                <w:kern w:val="0"/>
                <w:sz w:val="18"/>
                <w:szCs w:val="18"/>
              </w:rPr>
              <w:t>100</w:t>
            </w:r>
          </w:p>
        </w:tc>
        <w:tc>
          <w:tcPr>
            <w:tcW w:w="1029" w:type="dxa"/>
            <w:tcBorders>
              <w:top w:val="nil"/>
              <w:bottom w:val="single" w:sz="16" w:space="0" w:color="000000"/>
            </w:tcBorders>
            <w:shd w:val="clear" w:color="auto" w:fill="FFFFFF"/>
            <w:vAlign w:val="center"/>
          </w:tcPr>
          <w:p w14:paraId="6E55FD52" w14:textId="77777777" w:rsidR="00E33C25" w:rsidRPr="00E33C25" w:rsidRDefault="00E33C25" w:rsidP="00E33C25">
            <w:pPr>
              <w:autoSpaceDE w:val="0"/>
              <w:autoSpaceDN w:val="0"/>
              <w:adjustRightInd w:val="0"/>
              <w:spacing w:line="320" w:lineRule="atLeast"/>
              <w:ind w:left="60" w:right="60"/>
              <w:jc w:val="right"/>
              <w:rPr>
                <w:rFonts w:ascii="Arial" w:hAnsi="Arial" w:cs="Arial"/>
                <w:color w:val="000000"/>
                <w:kern w:val="0"/>
                <w:sz w:val="18"/>
                <w:szCs w:val="18"/>
              </w:rPr>
            </w:pPr>
            <w:r w:rsidRPr="00E33C25">
              <w:rPr>
                <w:rFonts w:ascii="Arial" w:hAnsi="Arial" w:cs="Arial"/>
                <w:color w:val="000000"/>
                <w:kern w:val="0"/>
                <w:sz w:val="18"/>
                <w:szCs w:val="18"/>
              </w:rPr>
              <w:t>100.0</w:t>
            </w:r>
          </w:p>
        </w:tc>
        <w:tc>
          <w:tcPr>
            <w:tcW w:w="1398" w:type="dxa"/>
            <w:tcBorders>
              <w:top w:val="nil"/>
              <w:bottom w:val="single" w:sz="16" w:space="0" w:color="000000"/>
            </w:tcBorders>
            <w:shd w:val="clear" w:color="auto" w:fill="FFFFFF"/>
            <w:vAlign w:val="center"/>
          </w:tcPr>
          <w:p w14:paraId="73E42CC5" w14:textId="77777777" w:rsidR="00E33C25" w:rsidRPr="00E33C25" w:rsidRDefault="00E33C25" w:rsidP="00E33C25">
            <w:pPr>
              <w:autoSpaceDE w:val="0"/>
              <w:autoSpaceDN w:val="0"/>
              <w:adjustRightInd w:val="0"/>
              <w:spacing w:line="320" w:lineRule="atLeast"/>
              <w:ind w:left="60" w:right="60"/>
              <w:jc w:val="right"/>
              <w:rPr>
                <w:rFonts w:ascii="Arial" w:hAnsi="Arial" w:cs="Arial"/>
                <w:color w:val="000000"/>
                <w:kern w:val="0"/>
                <w:sz w:val="18"/>
                <w:szCs w:val="18"/>
              </w:rPr>
            </w:pPr>
            <w:r w:rsidRPr="00E33C25">
              <w:rPr>
                <w:rFonts w:ascii="Arial" w:hAnsi="Arial" w:cs="Arial"/>
                <w:color w:val="000000"/>
                <w:kern w:val="0"/>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139676AF" w14:textId="77777777" w:rsidR="00E33C25" w:rsidRPr="00E33C25" w:rsidRDefault="00E33C25" w:rsidP="00E33C25">
            <w:pPr>
              <w:autoSpaceDE w:val="0"/>
              <w:autoSpaceDN w:val="0"/>
              <w:adjustRightInd w:val="0"/>
              <w:spacing w:line="240" w:lineRule="auto"/>
              <w:jc w:val="left"/>
              <w:rPr>
                <w:rFonts w:ascii="Times New Roman" w:hAnsi="Times New Roman" w:cs="Times New Roman"/>
                <w:kern w:val="0"/>
                <w:sz w:val="24"/>
                <w:szCs w:val="24"/>
              </w:rPr>
            </w:pPr>
          </w:p>
        </w:tc>
      </w:tr>
    </w:tbl>
    <w:p w14:paraId="1AFA2C96" w14:textId="77777777" w:rsidR="006C195B" w:rsidRDefault="006C195B" w:rsidP="006C195B">
      <w:pPr>
        <w:autoSpaceDE w:val="0"/>
        <w:autoSpaceDN w:val="0"/>
        <w:adjustRightInd w:val="0"/>
        <w:spacing w:line="240" w:lineRule="auto"/>
        <w:jc w:val="left"/>
        <w:rPr>
          <w:rFonts w:ascii="Times New Roman" w:hAnsi="Times New Roman" w:cs="Times New Roman"/>
          <w:kern w:val="0"/>
          <w:sz w:val="24"/>
          <w:szCs w:val="24"/>
        </w:rPr>
      </w:pPr>
    </w:p>
    <w:p w14:paraId="5119F88D" w14:textId="77777777" w:rsidR="006026E3" w:rsidRDefault="006026E3" w:rsidP="00155B38">
      <w:pPr>
        <w:autoSpaceDE w:val="0"/>
        <w:autoSpaceDN w:val="0"/>
        <w:adjustRightInd w:val="0"/>
        <w:spacing w:line="480" w:lineRule="auto"/>
        <w:jc w:val="left"/>
        <w:rPr>
          <w:rFonts w:ascii="Times New Roman" w:hAnsi="Times New Roman" w:cs="Times New Roman"/>
          <w:kern w:val="0"/>
          <w:sz w:val="24"/>
          <w:szCs w:val="24"/>
        </w:rPr>
      </w:pPr>
    </w:p>
    <w:p w14:paraId="3D1DF328" w14:textId="174A69B0" w:rsidR="009A6D11" w:rsidRDefault="006026E3" w:rsidP="0015047F">
      <w:pPr>
        <w:autoSpaceDE w:val="0"/>
        <w:autoSpaceDN w:val="0"/>
        <w:adjustRightInd w:val="0"/>
        <w:spacing w:line="480" w:lineRule="auto"/>
        <w:jc w:val="left"/>
        <w:rPr>
          <w:rFonts w:ascii="Times New Roman" w:hAnsi="Times New Roman" w:cs="Times New Roman"/>
          <w:kern w:val="0"/>
          <w:sz w:val="24"/>
          <w:szCs w:val="24"/>
        </w:rPr>
      </w:pPr>
      <w:r w:rsidRPr="006026E3">
        <w:rPr>
          <w:rFonts w:ascii="Times New Roman" w:hAnsi="Times New Roman" w:cs="Times New Roman"/>
          <w:kern w:val="0"/>
          <w:sz w:val="24"/>
          <w:szCs w:val="24"/>
        </w:rPr>
        <w:t xml:space="preserve">This table reveals that nearly every social worker in the study (99 out of 100, or 99%) believes gender-based violence (GBV) is a systemic problem that needs solutions at the policy </w:t>
      </w:r>
      <w:proofErr w:type="spellStart"/>
      <w:proofErr w:type="gramStart"/>
      <w:r w:rsidRPr="006026E3">
        <w:rPr>
          <w:rFonts w:ascii="Times New Roman" w:hAnsi="Times New Roman" w:cs="Times New Roman"/>
          <w:kern w:val="0"/>
          <w:sz w:val="24"/>
          <w:szCs w:val="24"/>
        </w:rPr>
        <w:t>level.This</w:t>
      </w:r>
      <w:proofErr w:type="spellEnd"/>
      <w:proofErr w:type="gramEnd"/>
      <w:r w:rsidRPr="006026E3">
        <w:rPr>
          <w:rFonts w:ascii="Times New Roman" w:hAnsi="Times New Roman" w:cs="Times New Roman"/>
          <w:kern w:val="0"/>
          <w:sz w:val="24"/>
          <w:szCs w:val="24"/>
        </w:rPr>
        <w:t xml:space="preserve"> means they see GBV (like domestic abuse or sexual violence) not just as isolated incidents caused by individuals, but as a widespread issue rooted in societal structures, laws, and institutions. Only one person (1%) disagreed ("No"), believing it might be addressed solely through individual solutions (like helping one survivor at a time). This near-universal agreement (99%) is a powerful finding. It shows these practitioners recognize that effectively tackling GBV requires going beyond helping individual survivors – it demands changes to laws, better funding for services, institutional reforms (like in courts or police), and broader societal efforts to challenge harmful norms and inequalities. This understanding is crucial because it aligns with expert views on GBV prevention. It suggests that these social workers, who are on the front lines seeing the impacts of GBV daily, strongly advocate for large-scale, structural changes alongside the essential work of supporting survivors. Their belief in systemic causes and policy solutions highlights a sophisticated awareness of the deep roots of GBV and points towards a workforce that would likely support and champion policy initiatives aimed at preventing violence and creating a more equitable society.</w:t>
      </w:r>
    </w:p>
    <w:p w14:paraId="212DE55C" w14:textId="77777777" w:rsidR="009A6D11" w:rsidRDefault="009A6D11" w:rsidP="006C195B">
      <w:pPr>
        <w:autoSpaceDE w:val="0"/>
        <w:autoSpaceDN w:val="0"/>
        <w:adjustRightInd w:val="0"/>
        <w:spacing w:line="240" w:lineRule="auto"/>
        <w:jc w:val="left"/>
        <w:rPr>
          <w:rFonts w:ascii="Times New Roman" w:hAnsi="Times New Roman" w:cs="Times New Roman"/>
          <w:kern w:val="0"/>
          <w:sz w:val="24"/>
          <w:szCs w:val="24"/>
        </w:rPr>
      </w:pPr>
    </w:p>
    <w:p w14:paraId="6251FE8C" w14:textId="77777777" w:rsidR="009A6D11" w:rsidRPr="006C195B" w:rsidRDefault="009A6D11" w:rsidP="006C195B">
      <w:pPr>
        <w:autoSpaceDE w:val="0"/>
        <w:autoSpaceDN w:val="0"/>
        <w:adjustRightInd w:val="0"/>
        <w:spacing w:line="240" w:lineRule="auto"/>
        <w:jc w:val="left"/>
        <w:rPr>
          <w:rFonts w:ascii="Times New Roman" w:hAnsi="Times New Roman" w:cs="Times New Roman"/>
          <w:kern w:val="0"/>
          <w:sz w:val="24"/>
          <w:szCs w:val="24"/>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6C195B" w:rsidRPr="006C195B" w14:paraId="6492C0A2" w14:textId="77777777">
        <w:trPr>
          <w:cantSplit/>
        </w:trPr>
        <w:tc>
          <w:tcPr>
            <w:tcW w:w="6544" w:type="dxa"/>
            <w:gridSpan w:val="6"/>
            <w:tcBorders>
              <w:top w:val="nil"/>
              <w:left w:val="nil"/>
              <w:bottom w:val="nil"/>
              <w:right w:val="nil"/>
            </w:tcBorders>
            <w:shd w:val="clear" w:color="auto" w:fill="FFFFFF"/>
            <w:vAlign w:val="center"/>
          </w:tcPr>
          <w:p w14:paraId="0A8D2A0C" w14:textId="77777777" w:rsidR="006C195B" w:rsidRPr="006C195B" w:rsidRDefault="006C195B" w:rsidP="006C195B">
            <w:pPr>
              <w:autoSpaceDE w:val="0"/>
              <w:autoSpaceDN w:val="0"/>
              <w:adjustRightInd w:val="0"/>
              <w:spacing w:line="320" w:lineRule="atLeast"/>
              <w:ind w:left="60" w:right="60"/>
              <w:jc w:val="center"/>
              <w:rPr>
                <w:rFonts w:ascii="Arial" w:hAnsi="Arial" w:cs="Arial"/>
                <w:color w:val="000000"/>
                <w:kern w:val="0"/>
                <w:sz w:val="18"/>
                <w:szCs w:val="18"/>
              </w:rPr>
            </w:pPr>
            <w:r w:rsidRPr="006C195B">
              <w:rPr>
                <w:rFonts w:ascii="Arial" w:hAnsi="Arial" w:cs="Arial"/>
                <w:b/>
                <w:bCs/>
                <w:color w:val="000000"/>
                <w:kern w:val="0"/>
                <w:sz w:val="18"/>
                <w:szCs w:val="18"/>
              </w:rPr>
              <w:t>15. Are there specific areas where you feel additional training/resources (e.g., trauma-informed care for GBV, legal frameworks, men’s role in gender equality) would improve your practice?</w:t>
            </w:r>
          </w:p>
        </w:tc>
      </w:tr>
      <w:tr w:rsidR="006C195B" w:rsidRPr="006C195B" w14:paraId="49D423E0" w14:textId="77777777">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6CF5027B" w14:textId="77777777" w:rsidR="006C195B" w:rsidRPr="006C195B" w:rsidRDefault="006C195B" w:rsidP="006C195B">
            <w:pPr>
              <w:autoSpaceDE w:val="0"/>
              <w:autoSpaceDN w:val="0"/>
              <w:adjustRightInd w:val="0"/>
              <w:spacing w:line="240" w:lineRule="auto"/>
              <w:jc w:val="left"/>
              <w:rPr>
                <w:rFonts w:ascii="Times New Roman" w:hAnsi="Times New Roman" w:cs="Times New Roman"/>
                <w:kern w:val="0"/>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14:paraId="0E6D1DA6" w14:textId="77777777" w:rsidR="006C195B" w:rsidRPr="006C195B" w:rsidRDefault="006C195B" w:rsidP="006C195B">
            <w:pPr>
              <w:autoSpaceDE w:val="0"/>
              <w:autoSpaceDN w:val="0"/>
              <w:adjustRightInd w:val="0"/>
              <w:spacing w:line="320" w:lineRule="atLeast"/>
              <w:ind w:left="60" w:right="60"/>
              <w:jc w:val="center"/>
              <w:rPr>
                <w:rFonts w:ascii="Arial" w:hAnsi="Arial" w:cs="Arial"/>
                <w:color w:val="000000"/>
                <w:kern w:val="0"/>
                <w:sz w:val="18"/>
                <w:szCs w:val="18"/>
              </w:rPr>
            </w:pPr>
            <w:r w:rsidRPr="006C195B">
              <w:rPr>
                <w:rFonts w:ascii="Arial" w:hAnsi="Arial" w:cs="Arial"/>
                <w:color w:val="000000"/>
                <w:kern w:val="0"/>
                <w:sz w:val="18"/>
                <w:szCs w:val="18"/>
              </w:rPr>
              <w:t>Frequency</w:t>
            </w:r>
          </w:p>
        </w:tc>
        <w:tc>
          <w:tcPr>
            <w:tcW w:w="1029" w:type="dxa"/>
            <w:tcBorders>
              <w:top w:val="single" w:sz="16" w:space="0" w:color="000000"/>
              <w:bottom w:val="single" w:sz="16" w:space="0" w:color="000000"/>
            </w:tcBorders>
            <w:shd w:val="clear" w:color="auto" w:fill="FFFFFF"/>
            <w:vAlign w:val="bottom"/>
          </w:tcPr>
          <w:p w14:paraId="0B17319D" w14:textId="77777777" w:rsidR="006C195B" w:rsidRPr="006C195B" w:rsidRDefault="006C195B" w:rsidP="006C195B">
            <w:pPr>
              <w:autoSpaceDE w:val="0"/>
              <w:autoSpaceDN w:val="0"/>
              <w:adjustRightInd w:val="0"/>
              <w:spacing w:line="320" w:lineRule="atLeast"/>
              <w:ind w:left="60" w:right="60"/>
              <w:jc w:val="center"/>
              <w:rPr>
                <w:rFonts w:ascii="Arial" w:hAnsi="Arial" w:cs="Arial"/>
                <w:color w:val="000000"/>
                <w:kern w:val="0"/>
                <w:sz w:val="18"/>
                <w:szCs w:val="18"/>
              </w:rPr>
            </w:pPr>
            <w:r w:rsidRPr="006C195B">
              <w:rPr>
                <w:rFonts w:ascii="Arial" w:hAnsi="Arial" w:cs="Arial"/>
                <w:color w:val="000000"/>
                <w:kern w:val="0"/>
                <w:sz w:val="18"/>
                <w:szCs w:val="18"/>
              </w:rPr>
              <w:t>Percent</w:t>
            </w:r>
          </w:p>
        </w:tc>
        <w:tc>
          <w:tcPr>
            <w:tcW w:w="1398" w:type="dxa"/>
            <w:tcBorders>
              <w:top w:val="single" w:sz="16" w:space="0" w:color="000000"/>
              <w:bottom w:val="single" w:sz="16" w:space="0" w:color="000000"/>
            </w:tcBorders>
            <w:shd w:val="clear" w:color="auto" w:fill="FFFFFF"/>
            <w:vAlign w:val="bottom"/>
          </w:tcPr>
          <w:p w14:paraId="13D71261" w14:textId="77777777" w:rsidR="006C195B" w:rsidRPr="006C195B" w:rsidRDefault="006C195B" w:rsidP="006C195B">
            <w:pPr>
              <w:autoSpaceDE w:val="0"/>
              <w:autoSpaceDN w:val="0"/>
              <w:adjustRightInd w:val="0"/>
              <w:spacing w:line="320" w:lineRule="atLeast"/>
              <w:ind w:left="60" w:right="60"/>
              <w:jc w:val="center"/>
              <w:rPr>
                <w:rFonts w:ascii="Arial" w:hAnsi="Arial" w:cs="Arial"/>
                <w:color w:val="000000"/>
                <w:kern w:val="0"/>
                <w:sz w:val="18"/>
                <w:szCs w:val="18"/>
              </w:rPr>
            </w:pPr>
            <w:r w:rsidRPr="006C195B">
              <w:rPr>
                <w:rFonts w:ascii="Arial" w:hAnsi="Arial" w:cs="Arial"/>
                <w:color w:val="000000"/>
                <w:kern w:val="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3CE8CB83" w14:textId="77777777" w:rsidR="006C195B" w:rsidRPr="006C195B" w:rsidRDefault="006C195B" w:rsidP="006C195B">
            <w:pPr>
              <w:autoSpaceDE w:val="0"/>
              <w:autoSpaceDN w:val="0"/>
              <w:adjustRightInd w:val="0"/>
              <w:spacing w:line="320" w:lineRule="atLeast"/>
              <w:ind w:left="60" w:right="60"/>
              <w:jc w:val="center"/>
              <w:rPr>
                <w:rFonts w:ascii="Arial" w:hAnsi="Arial" w:cs="Arial"/>
                <w:color w:val="000000"/>
                <w:kern w:val="0"/>
                <w:sz w:val="18"/>
                <w:szCs w:val="18"/>
              </w:rPr>
            </w:pPr>
            <w:r w:rsidRPr="006C195B">
              <w:rPr>
                <w:rFonts w:ascii="Arial" w:hAnsi="Arial" w:cs="Arial"/>
                <w:color w:val="000000"/>
                <w:kern w:val="0"/>
                <w:sz w:val="18"/>
                <w:szCs w:val="18"/>
              </w:rPr>
              <w:t>Cumulative Percent</w:t>
            </w:r>
          </w:p>
        </w:tc>
      </w:tr>
      <w:tr w:rsidR="006C195B" w:rsidRPr="006C195B" w14:paraId="79F29892" w14:textId="77777777">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6A71268F" w14:textId="77777777" w:rsidR="006C195B" w:rsidRPr="006C195B" w:rsidRDefault="006C195B" w:rsidP="006C195B">
            <w:pPr>
              <w:autoSpaceDE w:val="0"/>
              <w:autoSpaceDN w:val="0"/>
              <w:adjustRightInd w:val="0"/>
              <w:spacing w:line="320" w:lineRule="atLeast"/>
              <w:ind w:left="60" w:right="60"/>
              <w:jc w:val="left"/>
              <w:rPr>
                <w:rFonts w:ascii="Arial" w:hAnsi="Arial" w:cs="Arial"/>
                <w:color w:val="000000"/>
                <w:kern w:val="0"/>
                <w:sz w:val="18"/>
                <w:szCs w:val="18"/>
              </w:rPr>
            </w:pPr>
            <w:r w:rsidRPr="006C195B">
              <w:rPr>
                <w:rFonts w:ascii="Arial" w:hAnsi="Arial" w:cs="Arial"/>
                <w:color w:val="000000"/>
                <w:kern w:val="0"/>
                <w:sz w:val="18"/>
                <w:szCs w:val="18"/>
              </w:rPr>
              <w:t>Valid</w:t>
            </w:r>
          </w:p>
        </w:tc>
        <w:tc>
          <w:tcPr>
            <w:tcW w:w="737" w:type="dxa"/>
            <w:tcBorders>
              <w:top w:val="single" w:sz="16" w:space="0" w:color="000000"/>
              <w:left w:val="nil"/>
              <w:bottom w:val="nil"/>
              <w:right w:val="single" w:sz="16" w:space="0" w:color="000000"/>
            </w:tcBorders>
            <w:shd w:val="clear" w:color="auto" w:fill="FFFFFF"/>
          </w:tcPr>
          <w:p w14:paraId="11E12228" w14:textId="77777777" w:rsidR="006C195B" w:rsidRPr="006C195B" w:rsidRDefault="006C195B" w:rsidP="006C195B">
            <w:pPr>
              <w:autoSpaceDE w:val="0"/>
              <w:autoSpaceDN w:val="0"/>
              <w:adjustRightInd w:val="0"/>
              <w:spacing w:line="320" w:lineRule="atLeast"/>
              <w:ind w:left="60" w:right="60"/>
              <w:jc w:val="left"/>
              <w:rPr>
                <w:rFonts w:ascii="Arial" w:hAnsi="Arial" w:cs="Arial"/>
                <w:color w:val="000000"/>
                <w:kern w:val="0"/>
                <w:sz w:val="18"/>
                <w:szCs w:val="18"/>
              </w:rPr>
            </w:pPr>
            <w:r w:rsidRPr="006C195B">
              <w:rPr>
                <w:rFonts w:ascii="Arial" w:hAnsi="Arial" w:cs="Arial"/>
                <w:color w:val="000000"/>
                <w:kern w:val="0"/>
                <w:sz w:val="18"/>
                <w:szCs w:val="18"/>
              </w:rPr>
              <w:t>No</w:t>
            </w:r>
          </w:p>
        </w:tc>
        <w:tc>
          <w:tcPr>
            <w:tcW w:w="1168" w:type="dxa"/>
            <w:tcBorders>
              <w:top w:val="single" w:sz="16" w:space="0" w:color="000000"/>
              <w:left w:val="single" w:sz="16" w:space="0" w:color="000000"/>
              <w:bottom w:val="nil"/>
            </w:tcBorders>
            <w:shd w:val="clear" w:color="auto" w:fill="FFFFFF"/>
            <w:vAlign w:val="center"/>
          </w:tcPr>
          <w:p w14:paraId="04E802B8" w14:textId="77777777" w:rsidR="006C195B" w:rsidRPr="006C195B" w:rsidRDefault="006C195B" w:rsidP="006C195B">
            <w:pPr>
              <w:autoSpaceDE w:val="0"/>
              <w:autoSpaceDN w:val="0"/>
              <w:adjustRightInd w:val="0"/>
              <w:spacing w:line="320" w:lineRule="atLeast"/>
              <w:ind w:left="60" w:right="60"/>
              <w:jc w:val="right"/>
              <w:rPr>
                <w:rFonts w:ascii="Arial" w:hAnsi="Arial" w:cs="Arial"/>
                <w:color w:val="000000"/>
                <w:kern w:val="0"/>
                <w:sz w:val="18"/>
                <w:szCs w:val="18"/>
              </w:rPr>
            </w:pPr>
            <w:r w:rsidRPr="006C195B">
              <w:rPr>
                <w:rFonts w:ascii="Arial" w:hAnsi="Arial" w:cs="Arial"/>
                <w:color w:val="000000"/>
                <w:kern w:val="0"/>
                <w:sz w:val="18"/>
                <w:szCs w:val="18"/>
              </w:rPr>
              <w:t>1</w:t>
            </w:r>
          </w:p>
        </w:tc>
        <w:tc>
          <w:tcPr>
            <w:tcW w:w="1029" w:type="dxa"/>
            <w:tcBorders>
              <w:top w:val="single" w:sz="16" w:space="0" w:color="000000"/>
              <w:bottom w:val="nil"/>
            </w:tcBorders>
            <w:shd w:val="clear" w:color="auto" w:fill="FFFFFF"/>
            <w:vAlign w:val="center"/>
          </w:tcPr>
          <w:p w14:paraId="53BD0A6F" w14:textId="77777777" w:rsidR="006C195B" w:rsidRPr="006C195B" w:rsidRDefault="006C195B" w:rsidP="006C195B">
            <w:pPr>
              <w:autoSpaceDE w:val="0"/>
              <w:autoSpaceDN w:val="0"/>
              <w:adjustRightInd w:val="0"/>
              <w:spacing w:line="320" w:lineRule="atLeast"/>
              <w:ind w:left="60" w:right="60"/>
              <w:jc w:val="right"/>
              <w:rPr>
                <w:rFonts w:ascii="Arial" w:hAnsi="Arial" w:cs="Arial"/>
                <w:color w:val="000000"/>
                <w:kern w:val="0"/>
                <w:sz w:val="18"/>
                <w:szCs w:val="18"/>
              </w:rPr>
            </w:pPr>
            <w:r w:rsidRPr="006C195B">
              <w:rPr>
                <w:rFonts w:ascii="Arial" w:hAnsi="Arial" w:cs="Arial"/>
                <w:color w:val="000000"/>
                <w:kern w:val="0"/>
                <w:sz w:val="18"/>
                <w:szCs w:val="18"/>
              </w:rPr>
              <w:t>1.0</w:t>
            </w:r>
          </w:p>
        </w:tc>
        <w:tc>
          <w:tcPr>
            <w:tcW w:w="1398" w:type="dxa"/>
            <w:tcBorders>
              <w:top w:val="single" w:sz="16" w:space="0" w:color="000000"/>
              <w:bottom w:val="nil"/>
            </w:tcBorders>
            <w:shd w:val="clear" w:color="auto" w:fill="FFFFFF"/>
            <w:vAlign w:val="center"/>
          </w:tcPr>
          <w:p w14:paraId="16462A01" w14:textId="77777777" w:rsidR="006C195B" w:rsidRPr="006C195B" w:rsidRDefault="006C195B" w:rsidP="006C195B">
            <w:pPr>
              <w:autoSpaceDE w:val="0"/>
              <w:autoSpaceDN w:val="0"/>
              <w:adjustRightInd w:val="0"/>
              <w:spacing w:line="320" w:lineRule="atLeast"/>
              <w:ind w:left="60" w:right="60"/>
              <w:jc w:val="right"/>
              <w:rPr>
                <w:rFonts w:ascii="Arial" w:hAnsi="Arial" w:cs="Arial"/>
                <w:color w:val="000000"/>
                <w:kern w:val="0"/>
                <w:sz w:val="18"/>
                <w:szCs w:val="18"/>
              </w:rPr>
            </w:pPr>
            <w:r w:rsidRPr="006C195B">
              <w:rPr>
                <w:rFonts w:ascii="Arial" w:hAnsi="Arial" w:cs="Arial"/>
                <w:color w:val="000000"/>
                <w:kern w:val="0"/>
                <w:sz w:val="18"/>
                <w:szCs w:val="18"/>
              </w:rPr>
              <w:t>1.0</w:t>
            </w:r>
          </w:p>
        </w:tc>
        <w:tc>
          <w:tcPr>
            <w:tcW w:w="1475" w:type="dxa"/>
            <w:tcBorders>
              <w:top w:val="single" w:sz="16" w:space="0" w:color="000000"/>
              <w:bottom w:val="nil"/>
              <w:right w:val="single" w:sz="16" w:space="0" w:color="000000"/>
            </w:tcBorders>
            <w:shd w:val="clear" w:color="auto" w:fill="FFFFFF"/>
            <w:vAlign w:val="center"/>
          </w:tcPr>
          <w:p w14:paraId="1CC62E80" w14:textId="77777777" w:rsidR="006C195B" w:rsidRPr="006C195B" w:rsidRDefault="006C195B" w:rsidP="006C195B">
            <w:pPr>
              <w:autoSpaceDE w:val="0"/>
              <w:autoSpaceDN w:val="0"/>
              <w:adjustRightInd w:val="0"/>
              <w:spacing w:line="320" w:lineRule="atLeast"/>
              <w:ind w:left="60" w:right="60"/>
              <w:jc w:val="right"/>
              <w:rPr>
                <w:rFonts w:ascii="Arial" w:hAnsi="Arial" w:cs="Arial"/>
                <w:color w:val="000000"/>
                <w:kern w:val="0"/>
                <w:sz w:val="18"/>
                <w:szCs w:val="18"/>
              </w:rPr>
            </w:pPr>
            <w:r w:rsidRPr="006C195B">
              <w:rPr>
                <w:rFonts w:ascii="Arial" w:hAnsi="Arial" w:cs="Arial"/>
                <w:color w:val="000000"/>
                <w:kern w:val="0"/>
                <w:sz w:val="18"/>
                <w:szCs w:val="18"/>
              </w:rPr>
              <w:t>1.0</w:t>
            </w:r>
          </w:p>
        </w:tc>
      </w:tr>
      <w:tr w:rsidR="006C195B" w:rsidRPr="006C195B" w14:paraId="2EA78F7B"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AD42275" w14:textId="77777777" w:rsidR="006C195B" w:rsidRPr="006C195B" w:rsidRDefault="006C195B" w:rsidP="006C195B">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nil"/>
              <w:right w:val="single" w:sz="16" w:space="0" w:color="000000"/>
            </w:tcBorders>
            <w:shd w:val="clear" w:color="auto" w:fill="FFFFFF"/>
          </w:tcPr>
          <w:p w14:paraId="673AC170" w14:textId="77777777" w:rsidR="006C195B" w:rsidRPr="006C195B" w:rsidRDefault="006C195B" w:rsidP="006C195B">
            <w:pPr>
              <w:autoSpaceDE w:val="0"/>
              <w:autoSpaceDN w:val="0"/>
              <w:adjustRightInd w:val="0"/>
              <w:spacing w:line="320" w:lineRule="atLeast"/>
              <w:ind w:left="60" w:right="60"/>
              <w:jc w:val="left"/>
              <w:rPr>
                <w:rFonts w:ascii="Arial" w:hAnsi="Arial" w:cs="Arial"/>
                <w:color w:val="000000"/>
                <w:kern w:val="0"/>
                <w:sz w:val="18"/>
                <w:szCs w:val="18"/>
              </w:rPr>
            </w:pPr>
            <w:r w:rsidRPr="006C195B">
              <w:rPr>
                <w:rFonts w:ascii="Arial" w:hAnsi="Arial" w:cs="Arial"/>
                <w:color w:val="000000"/>
                <w:kern w:val="0"/>
                <w:sz w:val="18"/>
                <w:szCs w:val="18"/>
              </w:rPr>
              <w:t>Yes</w:t>
            </w:r>
          </w:p>
        </w:tc>
        <w:tc>
          <w:tcPr>
            <w:tcW w:w="1168" w:type="dxa"/>
            <w:tcBorders>
              <w:top w:val="nil"/>
              <w:left w:val="single" w:sz="16" w:space="0" w:color="000000"/>
              <w:bottom w:val="nil"/>
            </w:tcBorders>
            <w:shd w:val="clear" w:color="auto" w:fill="FFFFFF"/>
            <w:vAlign w:val="center"/>
          </w:tcPr>
          <w:p w14:paraId="541BC4EC" w14:textId="77777777" w:rsidR="006C195B" w:rsidRPr="006C195B" w:rsidRDefault="006C195B" w:rsidP="006C195B">
            <w:pPr>
              <w:autoSpaceDE w:val="0"/>
              <w:autoSpaceDN w:val="0"/>
              <w:adjustRightInd w:val="0"/>
              <w:spacing w:line="320" w:lineRule="atLeast"/>
              <w:ind w:left="60" w:right="60"/>
              <w:jc w:val="right"/>
              <w:rPr>
                <w:rFonts w:ascii="Arial" w:hAnsi="Arial" w:cs="Arial"/>
                <w:color w:val="000000"/>
                <w:kern w:val="0"/>
                <w:sz w:val="18"/>
                <w:szCs w:val="18"/>
              </w:rPr>
            </w:pPr>
            <w:r w:rsidRPr="006C195B">
              <w:rPr>
                <w:rFonts w:ascii="Arial" w:hAnsi="Arial" w:cs="Arial"/>
                <w:color w:val="000000"/>
                <w:kern w:val="0"/>
                <w:sz w:val="18"/>
                <w:szCs w:val="18"/>
              </w:rPr>
              <w:t>99</w:t>
            </w:r>
          </w:p>
        </w:tc>
        <w:tc>
          <w:tcPr>
            <w:tcW w:w="1029" w:type="dxa"/>
            <w:tcBorders>
              <w:top w:val="nil"/>
              <w:bottom w:val="nil"/>
            </w:tcBorders>
            <w:shd w:val="clear" w:color="auto" w:fill="FFFFFF"/>
            <w:vAlign w:val="center"/>
          </w:tcPr>
          <w:p w14:paraId="485E6667" w14:textId="77777777" w:rsidR="006C195B" w:rsidRPr="006C195B" w:rsidRDefault="006C195B" w:rsidP="006C195B">
            <w:pPr>
              <w:autoSpaceDE w:val="0"/>
              <w:autoSpaceDN w:val="0"/>
              <w:adjustRightInd w:val="0"/>
              <w:spacing w:line="320" w:lineRule="atLeast"/>
              <w:ind w:left="60" w:right="60"/>
              <w:jc w:val="right"/>
              <w:rPr>
                <w:rFonts w:ascii="Arial" w:hAnsi="Arial" w:cs="Arial"/>
                <w:color w:val="000000"/>
                <w:kern w:val="0"/>
                <w:sz w:val="18"/>
                <w:szCs w:val="18"/>
              </w:rPr>
            </w:pPr>
            <w:r w:rsidRPr="006C195B">
              <w:rPr>
                <w:rFonts w:ascii="Arial" w:hAnsi="Arial" w:cs="Arial"/>
                <w:color w:val="000000"/>
                <w:kern w:val="0"/>
                <w:sz w:val="18"/>
                <w:szCs w:val="18"/>
              </w:rPr>
              <w:t>99.0</w:t>
            </w:r>
          </w:p>
        </w:tc>
        <w:tc>
          <w:tcPr>
            <w:tcW w:w="1398" w:type="dxa"/>
            <w:tcBorders>
              <w:top w:val="nil"/>
              <w:bottom w:val="nil"/>
            </w:tcBorders>
            <w:shd w:val="clear" w:color="auto" w:fill="FFFFFF"/>
            <w:vAlign w:val="center"/>
          </w:tcPr>
          <w:p w14:paraId="688B60FF" w14:textId="77777777" w:rsidR="006C195B" w:rsidRPr="006C195B" w:rsidRDefault="006C195B" w:rsidP="006C195B">
            <w:pPr>
              <w:autoSpaceDE w:val="0"/>
              <w:autoSpaceDN w:val="0"/>
              <w:adjustRightInd w:val="0"/>
              <w:spacing w:line="320" w:lineRule="atLeast"/>
              <w:ind w:left="60" w:right="60"/>
              <w:jc w:val="right"/>
              <w:rPr>
                <w:rFonts w:ascii="Arial" w:hAnsi="Arial" w:cs="Arial"/>
                <w:color w:val="000000"/>
                <w:kern w:val="0"/>
                <w:sz w:val="18"/>
                <w:szCs w:val="18"/>
              </w:rPr>
            </w:pPr>
            <w:r w:rsidRPr="006C195B">
              <w:rPr>
                <w:rFonts w:ascii="Arial" w:hAnsi="Arial" w:cs="Arial"/>
                <w:color w:val="000000"/>
                <w:kern w:val="0"/>
                <w:sz w:val="18"/>
                <w:szCs w:val="18"/>
              </w:rPr>
              <w:t>99.0</w:t>
            </w:r>
          </w:p>
        </w:tc>
        <w:tc>
          <w:tcPr>
            <w:tcW w:w="1475" w:type="dxa"/>
            <w:tcBorders>
              <w:top w:val="nil"/>
              <w:bottom w:val="nil"/>
              <w:right w:val="single" w:sz="16" w:space="0" w:color="000000"/>
            </w:tcBorders>
            <w:shd w:val="clear" w:color="auto" w:fill="FFFFFF"/>
            <w:vAlign w:val="center"/>
          </w:tcPr>
          <w:p w14:paraId="4614FFD6" w14:textId="77777777" w:rsidR="006C195B" w:rsidRPr="006C195B" w:rsidRDefault="006C195B" w:rsidP="006C195B">
            <w:pPr>
              <w:autoSpaceDE w:val="0"/>
              <w:autoSpaceDN w:val="0"/>
              <w:adjustRightInd w:val="0"/>
              <w:spacing w:line="320" w:lineRule="atLeast"/>
              <w:ind w:left="60" w:right="60"/>
              <w:jc w:val="right"/>
              <w:rPr>
                <w:rFonts w:ascii="Arial" w:hAnsi="Arial" w:cs="Arial"/>
                <w:color w:val="000000"/>
                <w:kern w:val="0"/>
                <w:sz w:val="18"/>
                <w:szCs w:val="18"/>
              </w:rPr>
            </w:pPr>
            <w:r w:rsidRPr="006C195B">
              <w:rPr>
                <w:rFonts w:ascii="Arial" w:hAnsi="Arial" w:cs="Arial"/>
                <w:color w:val="000000"/>
                <w:kern w:val="0"/>
                <w:sz w:val="18"/>
                <w:szCs w:val="18"/>
              </w:rPr>
              <w:t>100.0</w:t>
            </w:r>
          </w:p>
        </w:tc>
      </w:tr>
      <w:tr w:rsidR="006C195B" w:rsidRPr="006C195B" w14:paraId="158BCD14"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D383A3F" w14:textId="77777777" w:rsidR="006C195B" w:rsidRPr="006C195B" w:rsidRDefault="006C195B" w:rsidP="006C195B">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single" w:sz="16" w:space="0" w:color="000000"/>
              <w:right w:val="single" w:sz="16" w:space="0" w:color="000000"/>
            </w:tcBorders>
            <w:shd w:val="clear" w:color="auto" w:fill="FFFFFF"/>
          </w:tcPr>
          <w:p w14:paraId="211F778D" w14:textId="77777777" w:rsidR="006C195B" w:rsidRPr="006C195B" w:rsidRDefault="006C195B" w:rsidP="006C195B">
            <w:pPr>
              <w:autoSpaceDE w:val="0"/>
              <w:autoSpaceDN w:val="0"/>
              <w:adjustRightInd w:val="0"/>
              <w:spacing w:line="320" w:lineRule="atLeast"/>
              <w:ind w:left="60" w:right="60"/>
              <w:jc w:val="left"/>
              <w:rPr>
                <w:rFonts w:ascii="Arial" w:hAnsi="Arial" w:cs="Arial"/>
                <w:color w:val="000000"/>
                <w:kern w:val="0"/>
                <w:sz w:val="18"/>
                <w:szCs w:val="18"/>
              </w:rPr>
            </w:pPr>
            <w:r w:rsidRPr="006C195B">
              <w:rPr>
                <w:rFonts w:ascii="Arial" w:hAnsi="Arial" w:cs="Arial"/>
                <w:color w:val="000000"/>
                <w:kern w:val="0"/>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4F3A2F05" w14:textId="77777777" w:rsidR="006C195B" w:rsidRPr="006C195B" w:rsidRDefault="006C195B" w:rsidP="006C195B">
            <w:pPr>
              <w:autoSpaceDE w:val="0"/>
              <w:autoSpaceDN w:val="0"/>
              <w:adjustRightInd w:val="0"/>
              <w:spacing w:line="320" w:lineRule="atLeast"/>
              <w:ind w:left="60" w:right="60"/>
              <w:jc w:val="right"/>
              <w:rPr>
                <w:rFonts w:ascii="Arial" w:hAnsi="Arial" w:cs="Arial"/>
                <w:color w:val="000000"/>
                <w:kern w:val="0"/>
                <w:sz w:val="18"/>
                <w:szCs w:val="18"/>
              </w:rPr>
            </w:pPr>
            <w:r w:rsidRPr="006C195B">
              <w:rPr>
                <w:rFonts w:ascii="Arial" w:hAnsi="Arial" w:cs="Arial"/>
                <w:color w:val="000000"/>
                <w:kern w:val="0"/>
                <w:sz w:val="18"/>
                <w:szCs w:val="18"/>
              </w:rPr>
              <w:t>100</w:t>
            </w:r>
          </w:p>
        </w:tc>
        <w:tc>
          <w:tcPr>
            <w:tcW w:w="1029" w:type="dxa"/>
            <w:tcBorders>
              <w:top w:val="nil"/>
              <w:bottom w:val="single" w:sz="16" w:space="0" w:color="000000"/>
            </w:tcBorders>
            <w:shd w:val="clear" w:color="auto" w:fill="FFFFFF"/>
            <w:vAlign w:val="center"/>
          </w:tcPr>
          <w:p w14:paraId="062AA1A5" w14:textId="77777777" w:rsidR="006C195B" w:rsidRPr="006C195B" w:rsidRDefault="006C195B" w:rsidP="006C195B">
            <w:pPr>
              <w:autoSpaceDE w:val="0"/>
              <w:autoSpaceDN w:val="0"/>
              <w:adjustRightInd w:val="0"/>
              <w:spacing w:line="320" w:lineRule="atLeast"/>
              <w:ind w:left="60" w:right="60"/>
              <w:jc w:val="right"/>
              <w:rPr>
                <w:rFonts w:ascii="Arial" w:hAnsi="Arial" w:cs="Arial"/>
                <w:color w:val="000000"/>
                <w:kern w:val="0"/>
                <w:sz w:val="18"/>
                <w:szCs w:val="18"/>
              </w:rPr>
            </w:pPr>
            <w:r w:rsidRPr="006C195B">
              <w:rPr>
                <w:rFonts w:ascii="Arial" w:hAnsi="Arial" w:cs="Arial"/>
                <w:color w:val="000000"/>
                <w:kern w:val="0"/>
                <w:sz w:val="18"/>
                <w:szCs w:val="18"/>
              </w:rPr>
              <w:t>100.0</w:t>
            </w:r>
          </w:p>
        </w:tc>
        <w:tc>
          <w:tcPr>
            <w:tcW w:w="1398" w:type="dxa"/>
            <w:tcBorders>
              <w:top w:val="nil"/>
              <w:bottom w:val="single" w:sz="16" w:space="0" w:color="000000"/>
            </w:tcBorders>
            <w:shd w:val="clear" w:color="auto" w:fill="FFFFFF"/>
            <w:vAlign w:val="center"/>
          </w:tcPr>
          <w:p w14:paraId="2C87EDB7" w14:textId="77777777" w:rsidR="006C195B" w:rsidRPr="006C195B" w:rsidRDefault="006C195B" w:rsidP="006C195B">
            <w:pPr>
              <w:autoSpaceDE w:val="0"/>
              <w:autoSpaceDN w:val="0"/>
              <w:adjustRightInd w:val="0"/>
              <w:spacing w:line="320" w:lineRule="atLeast"/>
              <w:ind w:left="60" w:right="60"/>
              <w:jc w:val="right"/>
              <w:rPr>
                <w:rFonts w:ascii="Arial" w:hAnsi="Arial" w:cs="Arial"/>
                <w:color w:val="000000"/>
                <w:kern w:val="0"/>
                <w:sz w:val="18"/>
                <w:szCs w:val="18"/>
              </w:rPr>
            </w:pPr>
            <w:r w:rsidRPr="006C195B">
              <w:rPr>
                <w:rFonts w:ascii="Arial" w:hAnsi="Arial" w:cs="Arial"/>
                <w:color w:val="000000"/>
                <w:kern w:val="0"/>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75B756DA" w14:textId="77777777" w:rsidR="006C195B" w:rsidRPr="006C195B" w:rsidRDefault="006C195B" w:rsidP="006C195B">
            <w:pPr>
              <w:autoSpaceDE w:val="0"/>
              <w:autoSpaceDN w:val="0"/>
              <w:adjustRightInd w:val="0"/>
              <w:spacing w:line="240" w:lineRule="auto"/>
              <w:jc w:val="left"/>
              <w:rPr>
                <w:rFonts w:ascii="Times New Roman" w:hAnsi="Times New Roman" w:cs="Times New Roman"/>
                <w:kern w:val="0"/>
                <w:sz w:val="24"/>
                <w:szCs w:val="24"/>
              </w:rPr>
            </w:pPr>
          </w:p>
        </w:tc>
      </w:tr>
    </w:tbl>
    <w:p w14:paraId="607F4D03" w14:textId="77777777" w:rsidR="00895359" w:rsidRDefault="00895359" w:rsidP="00794419">
      <w:pPr>
        <w:autoSpaceDE w:val="0"/>
        <w:autoSpaceDN w:val="0"/>
        <w:adjustRightInd w:val="0"/>
        <w:spacing w:line="240" w:lineRule="auto"/>
        <w:jc w:val="left"/>
        <w:rPr>
          <w:rFonts w:ascii="Times New Roman" w:hAnsi="Times New Roman" w:cs="Times New Roman"/>
          <w:kern w:val="0"/>
          <w:sz w:val="24"/>
          <w:szCs w:val="24"/>
        </w:rPr>
      </w:pPr>
    </w:p>
    <w:p w14:paraId="1D0DB6A2" w14:textId="77777777" w:rsidR="00895359" w:rsidRDefault="00895359" w:rsidP="007C23EE">
      <w:pPr>
        <w:autoSpaceDE w:val="0"/>
        <w:autoSpaceDN w:val="0"/>
        <w:adjustRightInd w:val="0"/>
        <w:jc w:val="left"/>
        <w:rPr>
          <w:rFonts w:ascii="Times New Roman" w:hAnsi="Times New Roman" w:cs="Times New Roman"/>
          <w:kern w:val="0"/>
          <w:sz w:val="24"/>
          <w:szCs w:val="24"/>
        </w:rPr>
      </w:pPr>
    </w:p>
    <w:p w14:paraId="51D8A4BE" w14:textId="7AB96955" w:rsidR="009A6D11" w:rsidRPr="009A6D11" w:rsidRDefault="009A6D11" w:rsidP="007C23EE">
      <w:pPr>
        <w:autoSpaceDE w:val="0"/>
        <w:autoSpaceDN w:val="0"/>
        <w:adjustRightInd w:val="0"/>
        <w:jc w:val="left"/>
        <w:rPr>
          <w:rFonts w:ascii="Times New Roman" w:hAnsi="Times New Roman" w:cs="Times New Roman"/>
          <w:kern w:val="0"/>
          <w:sz w:val="24"/>
          <w:szCs w:val="24"/>
        </w:rPr>
      </w:pPr>
      <w:r w:rsidRPr="009A6D11">
        <w:rPr>
          <w:rFonts w:ascii="Times New Roman" w:hAnsi="Times New Roman" w:cs="Times New Roman"/>
          <w:kern w:val="0"/>
          <w:sz w:val="24"/>
          <w:szCs w:val="24"/>
        </w:rPr>
        <w:t>This table shows that nearly every social worker in the study (99 out of 100, or 99%) feels they need more training or resources in specific areas to better help people with gender-related issues. Only one person (1%) felt they had everything they needed. This overwhelming agreement highlights a critical gap: even though most workers are aware of gender challenges (Table 6), have training (Tables 7 &amp; 12), feel responsible (Table 9), and use gender-sensitive approaches (Table 8), they still feel under-equipped for the complexity of their work. The specific areas mentioned—like trauma-informed care for GBV survivors, understanding legal systems, and engaging men in promoting equality—point to where they want deeper knowledge or practical tools. This near-universal call (99%) for more support is a powerful message to employers, trainers, and policymakers. It means that despite their existing skills and commitment, these social workers recognize that gender inequality and violence are deep-rooted problems requiring ongoing, specialized learning and better resources. Addressing this need could significantly improve their ability to support vulnerable clients effectively and create real change in their communities.</w:t>
      </w:r>
    </w:p>
    <w:p w14:paraId="766EF40F" w14:textId="6079216D" w:rsidR="00895359" w:rsidRDefault="009A6D11" w:rsidP="007C23EE">
      <w:pPr>
        <w:autoSpaceDE w:val="0"/>
        <w:autoSpaceDN w:val="0"/>
        <w:adjustRightInd w:val="0"/>
        <w:jc w:val="left"/>
        <w:rPr>
          <w:rFonts w:ascii="Times New Roman" w:hAnsi="Times New Roman" w:cs="Times New Roman"/>
          <w:kern w:val="0"/>
          <w:sz w:val="24"/>
          <w:szCs w:val="24"/>
        </w:rPr>
      </w:pPr>
      <w:r w:rsidRPr="009A6D11">
        <w:rPr>
          <w:rFonts w:ascii="Times New Roman" w:hAnsi="Times New Roman" w:cs="Times New Roman"/>
          <w:noProof/>
          <w:kern w:val="0"/>
          <w:sz w:val="24"/>
          <w:szCs w:val="24"/>
        </w:rPr>
        <w:drawing>
          <wp:inline distT="0" distB="0" distL="0" distR="0" wp14:anchorId="2A09B7B0" wp14:editId="0E656933">
            <wp:extent cx="6350" cy="6350"/>
            <wp:effectExtent l="0" t="0" r="0" b="0"/>
            <wp:docPr id="72754138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p w14:paraId="2473E4A0" w14:textId="77777777" w:rsidR="00895359" w:rsidRDefault="00895359" w:rsidP="00794419">
      <w:pPr>
        <w:autoSpaceDE w:val="0"/>
        <w:autoSpaceDN w:val="0"/>
        <w:adjustRightInd w:val="0"/>
        <w:spacing w:line="240" w:lineRule="auto"/>
        <w:jc w:val="left"/>
        <w:rPr>
          <w:rFonts w:ascii="Times New Roman" w:hAnsi="Times New Roman" w:cs="Times New Roman"/>
          <w:kern w:val="0"/>
          <w:sz w:val="24"/>
          <w:szCs w:val="24"/>
        </w:rPr>
      </w:pPr>
    </w:p>
    <w:p w14:paraId="0832CEDA" w14:textId="77777777" w:rsidR="00883305" w:rsidRPr="00794419" w:rsidRDefault="00883305" w:rsidP="00794419">
      <w:pPr>
        <w:autoSpaceDE w:val="0"/>
        <w:autoSpaceDN w:val="0"/>
        <w:adjustRightInd w:val="0"/>
        <w:spacing w:line="240" w:lineRule="auto"/>
        <w:jc w:val="left"/>
        <w:rPr>
          <w:rFonts w:ascii="Times New Roman" w:hAnsi="Times New Roman" w:cs="Times New Roman"/>
          <w:kern w:val="0"/>
          <w:sz w:val="24"/>
          <w:szCs w:val="24"/>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794419" w:rsidRPr="00794419" w14:paraId="24B7A1D7" w14:textId="77777777">
        <w:trPr>
          <w:cantSplit/>
        </w:trPr>
        <w:tc>
          <w:tcPr>
            <w:tcW w:w="6544" w:type="dxa"/>
            <w:gridSpan w:val="6"/>
            <w:tcBorders>
              <w:top w:val="nil"/>
              <w:left w:val="nil"/>
              <w:bottom w:val="nil"/>
              <w:right w:val="nil"/>
            </w:tcBorders>
            <w:shd w:val="clear" w:color="auto" w:fill="FFFFFF"/>
            <w:vAlign w:val="center"/>
          </w:tcPr>
          <w:p w14:paraId="4195A3BF" w14:textId="77777777" w:rsidR="00794419" w:rsidRPr="00794419" w:rsidRDefault="00794419" w:rsidP="00794419">
            <w:pPr>
              <w:autoSpaceDE w:val="0"/>
              <w:autoSpaceDN w:val="0"/>
              <w:adjustRightInd w:val="0"/>
              <w:spacing w:line="320" w:lineRule="atLeast"/>
              <w:ind w:left="60" w:right="60"/>
              <w:jc w:val="center"/>
              <w:rPr>
                <w:rFonts w:ascii="Arial" w:hAnsi="Arial" w:cs="Arial"/>
                <w:color w:val="000000"/>
                <w:kern w:val="0"/>
                <w:sz w:val="18"/>
                <w:szCs w:val="18"/>
              </w:rPr>
            </w:pPr>
            <w:r w:rsidRPr="00794419">
              <w:rPr>
                <w:rFonts w:ascii="Arial" w:hAnsi="Arial" w:cs="Arial"/>
                <w:b/>
                <w:bCs/>
                <w:color w:val="000000"/>
                <w:kern w:val="0"/>
                <w:sz w:val="18"/>
                <w:szCs w:val="18"/>
              </w:rPr>
              <w:t>16. Have you faced challenges (e.g., victim-blaming attitudes, lack of legal support) when addressing GBV cases?</w:t>
            </w:r>
          </w:p>
        </w:tc>
      </w:tr>
      <w:tr w:rsidR="00794419" w:rsidRPr="00794419" w14:paraId="77844040" w14:textId="77777777">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33C88B93" w14:textId="77777777" w:rsidR="00794419" w:rsidRPr="00794419" w:rsidRDefault="00794419" w:rsidP="00794419">
            <w:pPr>
              <w:autoSpaceDE w:val="0"/>
              <w:autoSpaceDN w:val="0"/>
              <w:adjustRightInd w:val="0"/>
              <w:spacing w:line="240" w:lineRule="auto"/>
              <w:jc w:val="left"/>
              <w:rPr>
                <w:rFonts w:ascii="Times New Roman" w:hAnsi="Times New Roman" w:cs="Times New Roman"/>
                <w:kern w:val="0"/>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14:paraId="2F9F5168" w14:textId="77777777" w:rsidR="00794419" w:rsidRPr="00794419" w:rsidRDefault="00794419" w:rsidP="00794419">
            <w:pPr>
              <w:autoSpaceDE w:val="0"/>
              <w:autoSpaceDN w:val="0"/>
              <w:adjustRightInd w:val="0"/>
              <w:spacing w:line="320" w:lineRule="atLeast"/>
              <w:ind w:left="60" w:right="60"/>
              <w:jc w:val="center"/>
              <w:rPr>
                <w:rFonts w:ascii="Arial" w:hAnsi="Arial" w:cs="Arial"/>
                <w:color w:val="000000"/>
                <w:kern w:val="0"/>
                <w:sz w:val="18"/>
                <w:szCs w:val="18"/>
              </w:rPr>
            </w:pPr>
            <w:r w:rsidRPr="00794419">
              <w:rPr>
                <w:rFonts w:ascii="Arial" w:hAnsi="Arial" w:cs="Arial"/>
                <w:color w:val="000000"/>
                <w:kern w:val="0"/>
                <w:sz w:val="18"/>
                <w:szCs w:val="18"/>
              </w:rPr>
              <w:t>Frequency</w:t>
            </w:r>
          </w:p>
        </w:tc>
        <w:tc>
          <w:tcPr>
            <w:tcW w:w="1029" w:type="dxa"/>
            <w:tcBorders>
              <w:top w:val="single" w:sz="16" w:space="0" w:color="000000"/>
              <w:bottom w:val="single" w:sz="16" w:space="0" w:color="000000"/>
            </w:tcBorders>
            <w:shd w:val="clear" w:color="auto" w:fill="FFFFFF"/>
            <w:vAlign w:val="bottom"/>
          </w:tcPr>
          <w:p w14:paraId="0E02D5CE" w14:textId="77777777" w:rsidR="00794419" w:rsidRPr="00794419" w:rsidRDefault="00794419" w:rsidP="00794419">
            <w:pPr>
              <w:autoSpaceDE w:val="0"/>
              <w:autoSpaceDN w:val="0"/>
              <w:adjustRightInd w:val="0"/>
              <w:spacing w:line="320" w:lineRule="atLeast"/>
              <w:ind w:left="60" w:right="60"/>
              <w:jc w:val="center"/>
              <w:rPr>
                <w:rFonts w:ascii="Arial" w:hAnsi="Arial" w:cs="Arial"/>
                <w:color w:val="000000"/>
                <w:kern w:val="0"/>
                <w:sz w:val="18"/>
                <w:szCs w:val="18"/>
              </w:rPr>
            </w:pPr>
            <w:r w:rsidRPr="00794419">
              <w:rPr>
                <w:rFonts w:ascii="Arial" w:hAnsi="Arial" w:cs="Arial"/>
                <w:color w:val="000000"/>
                <w:kern w:val="0"/>
                <w:sz w:val="18"/>
                <w:szCs w:val="18"/>
              </w:rPr>
              <w:t>Percent</w:t>
            </w:r>
          </w:p>
        </w:tc>
        <w:tc>
          <w:tcPr>
            <w:tcW w:w="1398" w:type="dxa"/>
            <w:tcBorders>
              <w:top w:val="single" w:sz="16" w:space="0" w:color="000000"/>
              <w:bottom w:val="single" w:sz="16" w:space="0" w:color="000000"/>
            </w:tcBorders>
            <w:shd w:val="clear" w:color="auto" w:fill="FFFFFF"/>
            <w:vAlign w:val="bottom"/>
          </w:tcPr>
          <w:p w14:paraId="1DD0FD34" w14:textId="77777777" w:rsidR="00794419" w:rsidRPr="00794419" w:rsidRDefault="00794419" w:rsidP="00794419">
            <w:pPr>
              <w:autoSpaceDE w:val="0"/>
              <w:autoSpaceDN w:val="0"/>
              <w:adjustRightInd w:val="0"/>
              <w:spacing w:line="320" w:lineRule="atLeast"/>
              <w:ind w:left="60" w:right="60"/>
              <w:jc w:val="center"/>
              <w:rPr>
                <w:rFonts w:ascii="Arial" w:hAnsi="Arial" w:cs="Arial"/>
                <w:color w:val="000000"/>
                <w:kern w:val="0"/>
                <w:sz w:val="18"/>
                <w:szCs w:val="18"/>
              </w:rPr>
            </w:pPr>
            <w:r w:rsidRPr="00794419">
              <w:rPr>
                <w:rFonts w:ascii="Arial" w:hAnsi="Arial" w:cs="Arial"/>
                <w:color w:val="000000"/>
                <w:kern w:val="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758E84A9" w14:textId="77777777" w:rsidR="00794419" w:rsidRPr="00794419" w:rsidRDefault="00794419" w:rsidP="00794419">
            <w:pPr>
              <w:autoSpaceDE w:val="0"/>
              <w:autoSpaceDN w:val="0"/>
              <w:adjustRightInd w:val="0"/>
              <w:spacing w:line="320" w:lineRule="atLeast"/>
              <w:ind w:left="60" w:right="60"/>
              <w:jc w:val="center"/>
              <w:rPr>
                <w:rFonts w:ascii="Arial" w:hAnsi="Arial" w:cs="Arial"/>
                <w:color w:val="000000"/>
                <w:kern w:val="0"/>
                <w:sz w:val="18"/>
                <w:szCs w:val="18"/>
              </w:rPr>
            </w:pPr>
            <w:r w:rsidRPr="00794419">
              <w:rPr>
                <w:rFonts w:ascii="Arial" w:hAnsi="Arial" w:cs="Arial"/>
                <w:color w:val="000000"/>
                <w:kern w:val="0"/>
                <w:sz w:val="18"/>
                <w:szCs w:val="18"/>
              </w:rPr>
              <w:t>Cumulative Percent</w:t>
            </w:r>
          </w:p>
        </w:tc>
      </w:tr>
      <w:tr w:rsidR="00794419" w:rsidRPr="00794419" w14:paraId="4EE2D45E" w14:textId="77777777">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27A1D701" w14:textId="77777777" w:rsidR="00794419" w:rsidRPr="00794419" w:rsidRDefault="00794419" w:rsidP="00794419">
            <w:pPr>
              <w:autoSpaceDE w:val="0"/>
              <w:autoSpaceDN w:val="0"/>
              <w:adjustRightInd w:val="0"/>
              <w:spacing w:line="320" w:lineRule="atLeast"/>
              <w:ind w:left="60" w:right="60"/>
              <w:jc w:val="left"/>
              <w:rPr>
                <w:rFonts w:ascii="Arial" w:hAnsi="Arial" w:cs="Arial"/>
                <w:color w:val="000000"/>
                <w:kern w:val="0"/>
                <w:sz w:val="18"/>
                <w:szCs w:val="18"/>
              </w:rPr>
            </w:pPr>
            <w:r w:rsidRPr="00794419">
              <w:rPr>
                <w:rFonts w:ascii="Arial" w:hAnsi="Arial" w:cs="Arial"/>
                <w:color w:val="000000"/>
                <w:kern w:val="0"/>
                <w:sz w:val="18"/>
                <w:szCs w:val="18"/>
              </w:rPr>
              <w:t>Valid</w:t>
            </w:r>
          </w:p>
        </w:tc>
        <w:tc>
          <w:tcPr>
            <w:tcW w:w="737" w:type="dxa"/>
            <w:tcBorders>
              <w:top w:val="single" w:sz="16" w:space="0" w:color="000000"/>
              <w:left w:val="nil"/>
              <w:bottom w:val="nil"/>
              <w:right w:val="single" w:sz="16" w:space="0" w:color="000000"/>
            </w:tcBorders>
            <w:shd w:val="clear" w:color="auto" w:fill="FFFFFF"/>
          </w:tcPr>
          <w:p w14:paraId="06C20FAB" w14:textId="77777777" w:rsidR="00794419" w:rsidRPr="00794419" w:rsidRDefault="00794419" w:rsidP="00794419">
            <w:pPr>
              <w:autoSpaceDE w:val="0"/>
              <w:autoSpaceDN w:val="0"/>
              <w:adjustRightInd w:val="0"/>
              <w:spacing w:line="320" w:lineRule="atLeast"/>
              <w:ind w:left="60" w:right="60"/>
              <w:jc w:val="left"/>
              <w:rPr>
                <w:rFonts w:ascii="Arial" w:hAnsi="Arial" w:cs="Arial"/>
                <w:color w:val="000000"/>
                <w:kern w:val="0"/>
                <w:sz w:val="18"/>
                <w:szCs w:val="18"/>
              </w:rPr>
            </w:pPr>
            <w:r w:rsidRPr="00794419">
              <w:rPr>
                <w:rFonts w:ascii="Arial" w:hAnsi="Arial" w:cs="Arial"/>
                <w:color w:val="000000"/>
                <w:kern w:val="0"/>
                <w:sz w:val="18"/>
                <w:szCs w:val="18"/>
              </w:rPr>
              <w:t>No</w:t>
            </w:r>
          </w:p>
        </w:tc>
        <w:tc>
          <w:tcPr>
            <w:tcW w:w="1168" w:type="dxa"/>
            <w:tcBorders>
              <w:top w:val="single" w:sz="16" w:space="0" w:color="000000"/>
              <w:left w:val="single" w:sz="16" w:space="0" w:color="000000"/>
              <w:bottom w:val="nil"/>
            </w:tcBorders>
            <w:shd w:val="clear" w:color="auto" w:fill="FFFFFF"/>
            <w:vAlign w:val="center"/>
          </w:tcPr>
          <w:p w14:paraId="5DDFBF7A" w14:textId="77777777" w:rsidR="00794419" w:rsidRPr="00794419" w:rsidRDefault="00794419" w:rsidP="00794419">
            <w:pPr>
              <w:autoSpaceDE w:val="0"/>
              <w:autoSpaceDN w:val="0"/>
              <w:adjustRightInd w:val="0"/>
              <w:spacing w:line="320" w:lineRule="atLeast"/>
              <w:ind w:left="60" w:right="60"/>
              <w:jc w:val="right"/>
              <w:rPr>
                <w:rFonts w:ascii="Arial" w:hAnsi="Arial" w:cs="Arial"/>
                <w:color w:val="000000"/>
                <w:kern w:val="0"/>
                <w:sz w:val="18"/>
                <w:szCs w:val="18"/>
              </w:rPr>
            </w:pPr>
            <w:r w:rsidRPr="00794419">
              <w:rPr>
                <w:rFonts w:ascii="Arial" w:hAnsi="Arial" w:cs="Arial"/>
                <w:color w:val="000000"/>
                <w:kern w:val="0"/>
                <w:sz w:val="18"/>
                <w:szCs w:val="18"/>
              </w:rPr>
              <w:t>1</w:t>
            </w:r>
          </w:p>
        </w:tc>
        <w:tc>
          <w:tcPr>
            <w:tcW w:w="1029" w:type="dxa"/>
            <w:tcBorders>
              <w:top w:val="single" w:sz="16" w:space="0" w:color="000000"/>
              <w:bottom w:val="nil"/>
            </w:tcBorders>
            <w:shd w:val="clear" w:color="auto" w:fill="FFFFFF"/>
            <w:vAlign w:val="center"/>
          </w:tcPr>
          <w:p w14:paraId="6BC1998A" w14:textId="77777777" w:rsidR="00794419" w:rsidRPr="00794419" w:rsidRDefault="00794419" w:rsidP="00794419">
            <w:pPr>
              <w:autoSpaceDE w:val="0"/>
              <w:autoSpaceDN w:val="0"/>
              <w:adjustRightInd w:val="0"/>
              <w:spacing w:line="320" w:lineRule="atLeast"/>
              <w:ind w:left="60" w:right="60"/>
              <w:jc w:val="right"/>
              <w:rPr>
                <w:rFonts w:ascii="Arial" w:hAnsi="Arial" w:cs="Arial"/>
                <w:color w:val="000000"/>
                <w:kern w:val="0"/>
                <w:sz w:val="18"/>
                <w:szCs w:val="18"/>
              </w:rPr>
            </w:pPr>
            <w:r w:rsidRPr="00794419">
              <w:rPr>
                <w:rFonts w:ascii="Arial" w:hAnsi="Arial" w:cs="Arial"/>
                <w:color w:val="000000"/>
                <w:kern w:val="0"/>
                <w:sz w:val="18"/>
                <w:szCs w:val="18"/>
              </w:rPr>
              <w:t>1.0</w:t>
            </w:r>
          </w:p>
        </w:tc>
        <w:tc>
          <w:tcPr>
            <w:tcW w:w="1398" w:type="dxa"/>
            <w:tcBorders>
              <w:top w:val="single" w:sz="16" w:space="0" w:color="000000"/>
              <w:bottom w:val="nil"/>
            </w:tcBorders>
            <w:shd w:val="clear" w:color="auto" w:fill="FFFFFF"/>
            <w:vAlign w:val="center"/>
          </w:tcPr>
          <w:p w14:paraId="7D2C2463" w14:textId="77777777" w:rsidR="00794419" w:rsidRPr="00794419" w:rsidRDefault="00794419" w:rsidP="00794419">
            <w:pPr>
              <w:autoSpaceDE w:val="0"/>
              <w:autoSpaceDN w:val="0"/>
              <w:adjustRightInd w:val="0"/>
              <w:spacing w:line="320" w:lineRule="atLeast"/>
              <w:ind w:left="60" w:right="60"/>
              <w:jc w:val="right"/>
              <w:rPr>
                <w:rFonts w:ascii="Arial" w:hAnsi="Arial" w:cs="Arial"/>
                <w:color w:val="000000"/>
                <w:kern w:val="0"/>
                <w:sz w:val="18"/>
                <w:szCs w:val="18"/>
              </w:rPr>
            </w:pPr>
            <w:r w:rsidRPr="00794419">
              <w:rPr>
                <w:rFonts w:ascii="Arial" w:hAnsi="Arial" w:cs="Arial"/>
                <w:color w:val="000000"/>
                <w:kern w:val="0"/>
                <w:sz w:val="18"/>
                <w:szCs w:val="18"/>
              </w:rPr>
              <w:t>1.0</w:t>
            </w:r>
          </w:p>
        </w:tc>
        <w:tc>
          <w:tcPr>
            <w:tcW w:w="1475" w:type="dxa"/>
            <w:tcBorders>
              <w:top w:val="single" w:sz="16" w:space="0" w:color="000000"/>
              <w:bottom w:val="nil"/>
              <w:right w:val="single" w:sz="16" w:space="0" w:color="000000"/>
            </w:tcBorders>
            <w:shd w:val="clear" w:color="auto" w:fill="FFFFFF"/>
            <w:vAlign w:val="center"/>
          </w:tcPr>
          <w:p w14:paraId="217CE17A" w14:textId="77777777" w:rsidR="00794419" w:rsidRPr="00794419" w:rsidRDefault="00794419" w:rsidP="00794419">
            <w:pPr>
              <w:autoSpaceDE w:val="0"/>
              <w:autoSpaceDN w:val="0"/>
              <w:adjustRightInd w:val="0"/>
              <w:spacing w:line="320" w:lineRule="atLeast"/>
              <w:ind w:left="60" w:right="60"/>
              <w:jc w:val="right"/>
              <w:rPr>
                <w:rFonts w:ascii="Arial" w:hAnsi="Arial" w:cs="Arial"/>
                <w:color w:val="000000"/>
                <w:kern w:val="0"/>
                <w:sz w:val="18"/>
                <w:szCs w:val="18"/>
              </w:rPr>
            </w:pPr>
            <w:r w:rsidRPr="00794419">
              <w:rPr>
                <w:rFonts w:ascii="Arial" w:hAnsi="Arial" w:cs="Arial"/>
                <w:color w:val="000000"/>
                <w:kern w:val="0"/>
                <w:sz w:val="18"/>
                <w:szCs w:val="18"/>
              </w:rPr>
              <w:t>1.0</w:t>
            </w:r>
          </w:p>
        </w:tc>
      </w:tr>
      <w:tr w:rsidR="00794419" w:rsidRPr="00794419" w14:paraId="48B9B536"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EFA0C30" w14:textId="77777777" w:rsidR="00794419" w:rsidRPr="00794419" w:rsidRDefault="00794419" w:rsidP="00794419">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nil"/>
              <w:right w:val="single" w:sz="16" w:space="0" w:color="000000"/>
            </w:tcBorders>
            <w:shd w:val="clear" w:color="auto" w:fill="FFFFFF"/>
          </w:tcPr>
          <w:p w14:paraId="09B278D0" w14:textId="77777777" w:rsidR="00794419" w:rsidRPr="00794419" w:rsidRDefault="00794419" w:rsidP="00794419">
            <w:pPr>
              <w:autoSpaceDE w:val="0"/>
              <w:autoSpaceDN w:val="0"/>
              <w:adjustRightInd w:val="0"/>
              <w:spacing w:line="320" w:lineRule="atLeast"/>
              <w:ind w:left="60" w:right="60"/>
              <w:jc w:val="left"/>
              <w:rPr>
                <w:rFonts w:ascii="Arial" w:hAnsi="Arial" w:cs="Arial"/>
                <w:color w:val="000000"/>
                <w:kern w:val="0"/>
                <w:sz w:val="18"/>
                <w:szCs w:val="18"/>
              </w:rPr>
            </w:pPr>
            <w:r w:rsidRPr="00794419">
              <w:rPr>
                <w:rFonts w:ascii="Arial" w:hAnsi="Arial" w:cs="Arial"/>
                <w:color w:val="000000"/>
                <w:kern w:val="0"/>
                <w:sz w:val="18"/>
                <w:szCs w:val="18"/>
              </w:rPr>
              <w:t>Yes</w:t>
            </w:r>
          </w:p>
        </w:tc>
        <w:tc>
          <w:tcPr>
            <w:tcW w:w="1168" w:type="dxa"/>
            <w:tcBorders>
              <w:top w:val="nil"/>
              <w:left w:val="single" w:sz="16" w:space="0" w:color="000000"/>
              <w:bottom w:val="nil"/>
            </w:tcBorders>
            <w:shd w:val="clear" w:color="auto" w:fill="FFFFFF"/>
            <w:vAlign w:val="center"/>
          </w:tcPr>
          <w:p w14:paraId="1ED18248" w14:textId="77777777" w:rsidR="00794419" w:rsidRPr="00794419" w:rsidRDefault="00794419" w:rsidP="00794419">
            <w:pPr>
              <w:autoSpaceDE w:val="0"/>
              <w:autoSpaceDN w:val="0"/>
              <w:adjustRightInd w:val="0"/>
              <w:spacing w:line="320" w:lineRule="atLeast"/>
              <w:ind w:left="60" w:right="60"/>
              <w:jc w:val="right"/>
              <w:rPr>
                <w:rFonts w:ascii="Arial" w:hAnsi="Arial" w:cs="Arial"/>
                <w:color w:val="000000"/>
                <w:kern w:val="0"/>
                <w:sz w:val="18"/>
                <w:szCs w:val="18"/>
              </w:rPr>
            </w:pPr>
            <w:r w:rsidRPr="00794419">
              <w:rPr>
                <w:rFonts w:ascii="Arial" w:hAnsi="Arial" w:cs="Arial"/>
                <w:color w:val="000000"/>
                <w:kern w:val="0"/>
                <w:sz w:val="18"/>
                <w:szCs w:val="18"/>
              </w:rPr>
              <w:t>99</w:t>
            </w:r>
          </w:p>
        </w:tc>
        <w:tc>
          <w:tcPr>
            <w:tcW w:w="1029" w:type="dxa"/>
            <w:tcBorders>
              <w:top w:val="nil"/>
              <w:bottom w:val="nil"/>
            </w:tcBorders>
            <w:shd w:val="clear" w:color="auto" w:fill="FFFFFF"/>
            <w:vAlign w:val="center"/>
          </w:tcPr>
          <w:p w14:paraId="667FB8E7" w14:textId="77777777" w:rsidR="00794419" w:rsidRPr="00794419" w:rsidRDefault="00794419" w:rsidP="00794419">
            <w:pPr>
              <w:autoSpaceDE w:val="0"/>
              <w:autoSpaceDN w:val="0"/>
              <w:adjustRightInd w:val="0"/>
              <w:spacing w:line="320" w:lineRule="atLeast"/>
              <w:ind w:left="60" w:right="60"/>
              <w:jc w:val="right"/>
              <w:rPr>
                <w:rFonts w:ascii="Arial" w:hAnsi="Arial" w:cs="Arial"/>
                <w:color w:val="000000"/>
                <w:kern w:val="0"/>
                <w:sz w:val="18"/>
                <w:szCs w:val="18"/>
              </w:rPr>
            </w:pPr>
            <w:r w:rsidRPr="00794419">
              <w:rPr>
                <w:rFonts w:ascii="Arial" w:hAnsi="Arial" w:cs="Arial"/>
                <w:color w:val="000000"/>
                <w:kern w:val="0"/>
                <w:sz w:val="18"/>
                <w:szCs w:val="18"/>
              </w:rPr>
              <w:t>99.0</w:t>
            </w:r>
          </w:p>
        </w:tc>
        <w:tc>
          <w:tcPr>
            <w:tcW w:w="1398" w:type="dxa"/>
            <w:tcBorders>
              <w:top w:val="nil"/>
              <w:bottom w:val="nil"/>
            </w:tcBorders>
            <w:shd w:val="clear" w:color="auto" w:fill="FFFFFF"/>
            <w:vAlign w:val="center"/>
          </w:tcPr>
          <w:p w14:paraId="4CE57153" w14:textId="77777777" w:rsidR="00794419" w:rsidRPr="00794419" w:rsidRDefault="00794419" w:rsidP="00794419">
            <w:pPr>
              <w:autoSpaceDE w:val="0"/>
              <w:autoSpaceDN w:val="0"/>
              <w:adjustRightInd w:val="0"/>
              <w:spacing w:line="320" w:lineRule="atLeast"/>
              <w:ind w:left="60" w:right="60"/>
              <w:jc w:val="right"/>
              <w:rPr>
                <w:rFonts w:ascii="Arial" w:hAnsi="Arial" w:cs="Arial"/>
                <w:color w:val="000000"/>
                <w:kern w:val="0"/>
                <w:sz w:val="18"/>
                <w:szCs w:val="18"/>
              </w:rPr>
            </w:pPr>
            <w:r w:rsidRPr="00794419">
              <w:rPr>
                <w:rFonts w:ascii="Arial" w:hAnsi="Arial" w:cs="Arial"/>
                <w:color w:val="000000"/>
                <w:kern w:val="0"/>
                <w:sz w:val="18"/>
                <w:szCs w:val="18"/>
              </w:rPr>
              <w:t>99.0</w:t>
            </w:r>
          </w:p>
        </w:tc>
        <w:tc>
          <w:tcPr>
            <w:tcW w:w="1475" w:type="dxa"/>
            <w:tcBorders>
              <w:top w:val="nil"/>
              <w:bottom w:val="nil"/>
              <w:right w:val="single" w:sz="16" w:space="0" w:color="000000"/>
            </w:tcBorders>
            <w:shd w:val="clear" w:color="auto" w:fill="FFFFFF"/>
            <w:vAlign w:val="center"/>
          </w:tcPr>
          <w:p w14:paraId="19395D37" w14:textId="77777777" w:rsidR="00794419" w:rsidRPr="00794419" w:rsidRDefault="00794419" w:rsidP="00794419">
            <w:pPr>
              <w:autoSpaceDE w:val="0"/>
              <w:autoSpaceDN w:val="0"/>
              <w:adjustRightInd w:val="0"/>
              <w:spacing w:line="320" w:lineRule="atLeast"/>
              <w:ind w:left="60" w:right="60"/>
              <w:jc w:val="right"/>
              <w:rPr>
                <w:rFonts w:ascii="Arial" w:hAnsi="Arial" w:cs="Arial"/>
                <w:color w:val="000000"/>
                <w:kern w:val="0"/>
                <w:sz w:val="18"/>
                <w:szCs w:val="18"/>
              </w:rPr>
            </w:pPr>
            <w:r w:rsidRPr="00794419">
              <w:rPr>
                <w:rFonts w:ascii="Arial" w:hAnsi="Arial" w:cs="Arial"/>
                <w:color w:val="000000"/>
                <w:kern w:val="0"/>
                <w:sz w:val="18"/>
                <w:szCs w:val="18"/>
              </w:rPr>
              <w:t>100.0</w:t>
            </w:r>
          </w:p>
        </w:tc>
      </w:tr>
      <w:tr w:rsidR="00794419" w:rsidRPr="00794419" w14:paraId="12ED4B64"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769B53B" w14:textId="77777777" w:rsidR="00794419" w:rsidRPr="00794419" w:rsidRDefault="00794419" w:rsidP="00794419">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single" w:sz="16" w:space="0" w:color="000000"/>
              <w:right w:val="single" w:sz="16" w:space="0" w:color="000000"/>
            </w:tcBorders>
            <w:shd w:val="clear" w:color="auto" w:fill="FFFFFF"/>
          </w:tcPr>
          <w:p w14:paraId="4D5A5F64" w14:textId="77777777" w:rsidR="00794419" w:rsidRPr="00794419" w:rsidRDefault="00794419" w:rsidP="00794419">
            <w:pPr>
              <w:autoSpaceDE w:val="0"/>
              <w:autoSpaceDN w:val="0"/>
              <w:adjustRightInd w:val="0"/>
              <w:spacing w:line="320" w:lineRule="atLeast"/>
              <w:ind w:left="60" w:right="60"/>
              <w:jc w:val="left"/>
              <w:rPr>
                <w:rFonts w:ascii="Arial" w:hAnsi="Arial" w:cs="Arial"/>
                <w:color w:val="000000"/>
                <w:kern w:val="0"/>
                <w:sz w:val="18"/>
                <w:szCs w:val="18"/>
              </w:rPr>
            </w:pPr>
            <w:r w:rsidRPr="00794419">
              <w:rPr>
                <w:rFonts w:ascii="Arial" w:hAnsi="Arial" w:cs="Arial"/>
                <w:color w:val="000000"/>
                <w:kern w:val="0"/>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1F0A59B2" w14:textId="77777777" w:rsidR="00794419" w:rsidRPr="00794419" w:rsidRDefault="00794419" w:rsidP="00794419">
            <w:pPr>
              <w:autoSpaceDE w:val="0"/>
              <w:autoSpaceDN w:val="0"/>
              <w:adjustRightInd w:val="0"/>
              <w:spacing w:line="320" w:lineRule="atLeast"/>
              <w:ind w:left="60" w:right="60"/>
              <w:jc w:val="right"/>
              <w:rPr>
                <w:rFonts w:ascii="Arial" w:hAnsi="Arial" w:cs="Arial"/>
                <w:color w:val="000000"/>
                <w:kern w:val="0"/>
                <w:sz w:val="18"/>
                <w:szCs w:val="18"/>
              </w:rPr>
            </w:pPr>
            <w:r w:rsidRPr="00794419">
              <w:rPr>
                <w:rFonts w:ascii="Arial" w:hAnsi="Arial" w:cs="Arial"/>
                <w:color w:val="000000"/>
                <w:kern w:val="0"/>
                <w:sz w:val="18"/>
                <w:szCs w:val="18"/>
              </w:rPr>
              <w:t>100</w:t>
            </w:r>
          </w:p>
        </w:tc>
        <w:tc>
          <w:tcPr>
            <w:tcW w:w="1029" w:type="dxa"/>
            <w:tcBorders>
              <w:top w:val="nil"/>
              <w:bottom w:val="single" w:sz="16" w:space="0" w:color="000000"/>
            </w:tcBorders>
            <w:shd w:val="clear" w:color="auto" w:fill="FFFFFF"/>
            <w:vAlign w:val="center"/>
          </w:tcPr>
          <w:p w14:paraId="6B1FB763" w14:textId="77777777" w:rsidR="00794419" w:rsidRPr="00794419" w:rsidRDefault="00794419" w:rsidP="00794419">
            <w:pPr>
              <w:autoSpaceDE w:val="0"/>
              <w:autoSpaceDN w:val="0"/>
              <w:adjustRightInd w:val="0"/>
              <w:spacing w:line="320" w:lineRule="atLeast"/>
              <w:ind w:left="60" w:right="60"/>
              <w:jc w:val="right"/>
              <w:rPr>
                <w:rFonts w:ascii="Arial" w:hAnsi="Arial" w:cs="Arial"/>
                <w:color w:val="000000"/>
                <w:kern w:val="0"/>
                <w:sz w:val="18"/>
                <w:szCs w:val="18"/>
              </w:rPr>
            </w:pPr>
            <w:r w:rsidRPr="00794419">
              <w:rPr>
                <w:rFonts w:ascii="Arial" w:hAnsi="Arial" w:cs="Arial"/>
                <w:color w:val="000000"/>
                <w:kern w:val="0"/>
                <w:sz w:val="18"/>
                <w:szCs w:val="18"/>
              </w:rPr>
              <w:t>100.0</w:t>
            </w:r>
          </w:p>
        </w:tc>
        <w:tc>
          <w:tcPr>
            <w:tcW w:w="1398" w:type="dxa"/>
            <w:tcBorders>
              <w:top w:val="nil"/>
              <w:bottom w:val="single" w:sz="16" w:space="0" w:color="000000"/>
            </w:tcBorders>
            <w:shd w:val="clear" w:color="auto" w:fill="FFFFFF"/>
            <w:vAlign w:val="center"/>
          </w:tcPr>
          <w:p w14:paraId="3ACB33DF" w14:textId="77777777" w:rsidR="00794419" w:rsidRPr="00794419" w:rsidRDefault="00794419" w:rsidP="00794419">
            <w:pPr>
              <w:autoSpaceDE w:val="0"/>
              <w:autoSpaceDN w:val="0"/>
              <w:adjustRightInd w:val="0"/>
              <w:spacing w:line="320" w:lineRule="atLeast"/>
              <w:ind w:left="60" w:right="60"/>
              <w:jc w:val="right"/>
              <w:rPr>
                <w:rFonts w:ascii="Arial" w:hAnsi="Arial" w:cs="Arial"/>
                <w:color w:val="000000"/>
                <w:kern w:val="0"/>
                <w:sz w:val="18"/>
                <w:szCs w:val="18"/>
              </w:rPr>
            </w:pPr>
            <w:r w:rsidRPr="00794419">
              <w:rPr>
                <w:rFonts w:ascii="Arial" w:hAnsi="Arial" w:cs="Arial"/>
                <w:color w:val="000000"/>
                <w:kern w:val="0"/>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2091C2DD" w14:textId="77777777" w:rsidR="00794419" w:rsidRPr="00794419" w:rsidRDefault="00794419" w:rsidP="00794419">
            <w:pPr>
              <w:autoSpaceDE w:val="0"/>
              <w:autoSpaceDN w:val="0"/>
              <w:adjustRightInd w:val="0"/>
              <w:spacing w:line="240" w:lineRule="auto"/>
              <w:jc w:val="left"/>
              <w:rPr>
                <w:rFonts w:ascii="Times New Roman" w:hAnsi="Times New Roman" w:cs="Times New Roman"/>
                <w:kern w:val="0"/>
                <w:sz w:val="24"/>
                <w:szCs w:val="24"/>
              </w:rPr>
            </w:pPr>
          </w:p>
        </w:tc>
      </w:tr>
    </w:tbl>
    <w:p w14:paraId="6277C974" w14:textId="77777777" w:rsidR="00883305" w:rsidRDefault="00883305" w:rsidP="00A851B1">
      <w:pPr>
        <w:autoSpaceDE w:val="0"/>
        <w:autoSpaceDN w:val="0"/>
        <w:adjustRightInd w:val="0"/>
        <w:spacing w:line="240" w:lineRule="auto"/>
        <w:jc w:val="left"/>
        <w:rPr>
          <w:rFonts w:ascii="Times New Roman" w:hAnsi="Times New Roman" w:cs="Times New Roman"/>
          <w:kern w:val="0"/>
          <w:sz w:val="24"/>
          <w:szCs w:val="24"/>
        </w:rPr>
      </w:pPr>
    </w:p>
    <w:p w14:paraId="1655CD28" w14:textId="73144B13" w:rsidR="000F239A" w:rsidRPr="000F239A" w:rsidRDefault="000F239A" w:rsidP="00361EBF">
      <w:pPr>
        <w:autoSpaceDE w:val="0"/>
        <w:autoSpaceDN w:val="0"/>
        <w:adjustRightInd w:val="0"/>
        <w:jc w:val="left"/>
        <w:rPr>
          <w:rFonts w:ascii="Times New Roman" w:hAnsi="Times New Roman" w:cs="Times New Roman"/>
          <w:kern w:val="0"/>
          <w:sz w:val="24"/>
          <w:szCs w:val="24"/>
        </w:rPr>
      </w:pPr>
      <w:r w:rsidRPr="000F239A">
        <w:rPr>
          <w:rFonts w:ascii="Times New Roman" w:hAnsi="Times New Roman" w:cs="Times New Roman"/>
          <w:kern w:val="0"/>
          <w:sz w:val="24"/>
          <w:szCs w:val="24"/>
        </w:rPr>
        <w:lastRenderedPageBreak/>
        <w:t>The table presents the results of a quantitative analysis related to the challenges faced by individuals when addressing Gender-Based Violence (GBV) cases. The specific question asked was whether participants have encountered difficulties such as victim-blaming attitudes or lack of legal support while handling GBV cases. According to the data, out of a total of 100 respondents, 99 individuals (which represents 99%) reported that they have indeed faced such challenges. Only 1 person (1%) stated that they have not experienced any challenges. This means that the overwhelming majority of the respondents have faced some form of difficulty when dealing with GBV-related matters.</w:t>
      </w:r>
    </w:p>
    <w:p w14:paraId="74AC3D49" w14:textId="77777777" w:rsidR="000F239A" w:rsidRPr="000F239A" w:rsidRDefault="000F239A" w:rsidP="000F239A">
      <w:pPr>
        <w:autoSpaceDE w:val="0"/>
        <w:autoSpaceDN w:val="0"/>
        <w:adjustRightInd w:val="0"/>
        <w:spacing w:line="240" w:lineRule="auto"/>
        <w:jc w:val="left"/>
        <w:rPr>
          <w:rFonts w:ascii="Times New Roman" w:hAnsi="Times New Roman" w:cs="Times New Roman"/>
          <w:kern w:val="0"/>
          <w:sz w:val="24"/>
          <w:szCs w:val="24"/>
        </w:rPr>
      </w:pPr>
    </w:p>
    <w:p w14:paraId="0EB81DD9" w14:textId="77777777" w:rsidR="000F239A" w:rsidRPr="000F239A" w:rsidRDefault="000F239A" w:rsidP="00361EBF">
      <w:pPr>
        <w:autoSpaceDE w:val="0"/>
        <w:autoSpaceDN w:val="0"/>
        <w:adjustRightInd w:val="0"/>
        <w:jc w:val="left"/>
        <w:rPr>
          <w:rFonts w:ascii="Times New Roman" w:hAnsi="Times New Roman" w:cs="Times New Roman"/>
          <w:kern w:val="0"/>
          <w:sz w:val="24"/>
          <w:szCs w:val="24"/>
        </w:rPr>
      </w:pPr>
      <w:r w:rsidRPr="000F239A">
        <w:rPr>
          <w:rFonts w:ascii="Times New Roman" w:hAnsi="Times New Roman" w:cs="Times New Roman"/>
          <w:kern w:val="0"/>
          <w:sz w:val="24"/>
          <w:szCs w:val="24"/>
        </w:rPr>
        <w:t>The high percentage of respondents who reported experiencing challenges highlights the seriousness of the obstacles present in the process of addressing GBV cases. These challenges could be in the form of negative societal attitudes, unsupportive legal systems, or institutional barriers that make it difficult to support GBV survivors effectively. The data strongly suggests that these problems are widespread and not isolated to a few individuals. Since 99% of participants acknowledged the presence of challenges, this is a clear indication that there are systemic issues that need to be addressed to improve the response to GBV cases.</w:t>
      </w:r>
    </w:p>
    <w:p w14:paraId="485DB8EA" w14:textId="77777777" w:rsidR="000F239A" w:rsidRPr="000F239A" w:rsidRDefault="000F239A" w:rsidP="00361EBF">
      <w:pPr>
        <w:autoSpaceDE w:val="0"/>
        <w:autoSpaceDN w:val="0"/>
        <w:adjustRightInd w:val="0"/>
        <w:jc w:val="left"/>
        <w:rPr>
          <w:rFonts w:ascii="Times New Roman" w:hAnsi="Times New Roman" w:cs="Times New Roman"/>
          <w:kern w:val="0"/>
          <w:sz w:val="24"/>
          <w:szCs w:val="24"/>
        </w:rPr>
      </w:pPr>
    </w:p>
    <w:p w14:paraId="5A34BFB5" w14:textId="1A5C65D3" w:rsidR="00361EBF" w:rsidRDefault="000F239A" w:rsidP="0015047F">
      <w:pPr>
        <w:autoSpaceDE w:val="0"/>
        <w:autoSpaceDN w:val="0"/>
        <w:adjustRightInd w:val="0"/>
        <w:jc w:val="left"/>
        <w:rPr>
          <w:rFonts w:ascii="Times New Roman" w:hAnsi="Times New Roman" w:cs="Times New Roman"/>
          <w:kern w:val="0"/>
          <w:sz w:val="24"/>
          <w:szCs w:val="24"/>
        </w:rPr>
      </w:pPr>
      <w:r w:rsidRPr="000F239A">
        <w:rPr>
          <w:rFonts w:ascii="Times New Roman" w:hAnsi="Times New Roman" w:cs="Times New Roman"/>
          <w:kern w:val="0"/>
          <w:sz w:val="24"/>
          <w:szCs w:val="24"/>
        </w:rPr>
        <w:t>In conclusion, the table shows a significant pattern: almost everyone involved in GBV work has encountered some kind of difficulty. This information is important because it points to the need for reforms in both policy and practice. It calls for better legal frameworks, more supportive services, and awareness campaigns to reduce stigma and victim-blaming. These steps are essential to ensure that survivors receive the help they need and that the people working to support them are not hindered by avoidable obstacles.</w:t>
      </w:r>
    </w:p>
    <w:p w14:paraId="2FD204F3" w14:textId="77777777" w:rsidR="00361EBF" w:rsidRDefault="00361EBF" w:rsidP="00A851B1">
      <w:pPr>
        <w:autoSpaceDE w:val="0"/>
        <w:autoSpaceDN w:val="0"/>
        <w:adjustRightInd w:val="0"/>
        <w:spacing w:line="240" w:lineRule="auto"/>
        <w:jc w:val="left"/>
        <w:rPr>
          <w:rFonts w:ascii="Times New Roman" w:hAnsi="Times New Roman" w:cs="Times New Roman"/>
          <w:kern w:val="0"/>
          <w:sz w:val="24"/>
          <w:szCs w:val="24"/>
        </w:rPr>
      </w:pPr>
    </w:p>
    <w:p w14:paraId="5DC62CA7" w14:textId="77777777" w:rsidR="00361EBF" w:rsidRDefault="00361EBF" w:rsidP="00A851B1">
      <w:pPr>
        <w:autoSpaceDE w:val="0"/>
        <w:autoSpaceDN w:val="0"/>
        <w:adjustRightInd w:val="0"/>
        <w:spacing w:line="240" w:lineRule="auto"/>
        <w:jc w:val="left"/>
        <w:rPr>
          <w:rFonts w:ascii="Times New Roman" w:hAnsi="Times New Roman" w:cs="Times New Roman"/>
          <w:kern w:val="0"/>
          <w:sz w:val="24"/>
          <w:szCs w:val="24"/>
        </w:rPr>
      </w:pPr>
    </w:p>
    <w:p w14:paraId="6EBDBC88" w14:textId="77777777" w:rsidR="00AC5BA5" w:rsidRPr="00A851B1" w:rsidRDefault="00AC5BA5" w:rsidP="00A851B1">
      <w:pPr>
        <w:autoSpaceDE w:val="0"/>
        <w:autoSpaceDN w:val="0"/>
        <w:adjustRightInd w:val="0"/>
        <w:spacing w:line="240" w:lineRule="auto"/>
        <w:jc w:val="left"/>
        <w:rPr>
          <w:rFonts w:ascii="Times New Roman" w:hAnsi="Times New Roman" w:cs="Times New Roman"/>
          <w:kern w:val="0"/>
          <w:sz w:val="24"/>
          <w:szCs w:val="24"/>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A851B1" w:rsidRPr="00A851B1" w14:paraId="66940762" w14:textId="77777777">
        <w:trPr>
          <w:cantSplit/>
        </w:trPr>
        <w:tc>
          <w:tcPr>
            <w:tcW w:w="6544" w:type="dxa"/>
            <w:gridSpan w:val="6"/>
            <w:tcBorders>
              <w:top w:val="nil"/>
              <w:left w:val="nil"/>
              <w:bottom w:val="nil"/>
              <w:right w:val="nil"/>
            </w:tcBorders>
            <w:shd w:val="clear" w:color="auto" w:fill="FFFFFF"/>
            <w:vAlign w:val="center"/>
          </w:tcPr>
          <w:p w14:paraId="5D3F75B8" w14:textId="77777777" w:rsidR="00A851B1" w:rsidRPr="00A851B1" w:rsidRDefault="00A851B1" w:rsidP="00A851B1">
            <w:pPr>
              <w:autoSpaceDE w:val="0"/>
              <w:autoSpaceDN w:val="0"/>
              <w:adjustRightInd w:val="0"/>
              <w:spacing w:line="320" w:lineRule="atLeast"/>
              <w:ind w:left="60" w:right="60"/>
              <w:jc w:val="center"/>
              <w:rPr>
                <w:rFonts w:ascii="Arial" w:hAnsi="Arial" w:cs="Arial"/>
                <w:color w:val="000000"/>
                <w:kern w:val="0"/>
                <w:sz w:val="18"/>
                <w:szCs w:val="18"/>
              </w:rPr>
            </w:pPr>
            <w:r w:rsidRPr="00A851B1">
              <w:rPr>
                <w:rFonts w:ascii="Arial" w:hAnsi="Arial" w:cs="Arial"/>
                <w:b/>
                <w:bCs/>
                <w:color w:val="000000"/>
                <w:kern w:val="0"/>
                <w:sz w:val="18"/>
                <w:szCs w:val="18"/>
              </w:rPr>
              <w:t>17. Have you received formal training on gender-sensitive practices (e.g., addressing biases, inclusive language, intersectional approaches) in your social work education/career?</w:t>
            </w:r>
          </w:p>
        </w:tc>
      </w:tr>
      <w:tr w:rsidR="00A851B1" w:rsidRPr="00A851B1" w14:paraId="3A21A30E" w14:textId="77777777">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57EC17E3" w14:textId="77777777" w:rsidR="00A851B1" w:rsidRPr="00A851B1" w:rsidRDefault="00A851B1" w:rsidP="00A851B1">
            <w:pPr>
              <w:autoSpaceDE w:val="0"/>
              <w:autoSpaceDN w:val="0"/>
              <w:adjustRightInd w:val="0"/>
              <w:spacing w:line="240" w:lineRule="auto"/>
              <w:jc w:val="left"/>
              <w:rPr>
                <w:rFonts w:ascii="Times New Roman" w:hAnsi="Times New Roman" w:cs="Times New Roman"/>
                <w:kern w:val="0"/>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14:paraId="175D3EC7" w14:textId="77777777" w:rsidR="00A851B1" w:rsidRPr="00A851B1" w:rsidRDefault="00A851B1" w:rsidP="00A851B1">
            <w:pPr>
              <w:autoSpaceDE w:val="0"/>
              <w:autoSpaceDN w:val="0"/>
              <w:adjustRightInd w:val="0"/>
              <w:spacing w:line="320" w:lineRule="atLeast"/>
              <w:ind w:left="60" w:right="60"/>
              <w:jc w:val="center"/>
              <w:rPr>
                <w:rFonts w:ascii="Arial" w:hAnsi="Arial" w:cs="Arial"/>
                <w:color w:val="000000"/>
                <w:kern w:val="0"/>
                <w:sz w:val="18"/>
                <w:szCs w:val="18"/>
              </w:rPr>
            </w:pPr>
            <w:r w:rsidRPr="00A851B1">
              <w:rPr>
                <w:rFonts w:ascii="Arial" w:hAnsi="Arial" w:cs="Arial"/>
                <w:color w:val="000000"/>
                <w:kern w:val="0"/>
                <w:sz w:val="18"/>
                <w:szCs w:val="18"/>
              </w:rPr>
              <w:t>Frequency</w:t>
            </w:r>
          </w:p>
        </w:tc>
        <w:tc>
          <w:tcPr>
            <w:tcW w:w="1029" w:type="dxa"/>
            <w:tcBorders>
              <w:top w:val="single" w:sz="16" w:space="0" w:color="000000"/>
              <w:bottom w:val="single" w:sz="16" w:space="0" w:color="000000"/>
            </w:tcBorders>
            <w:shd w:val="clear" w:color="auto" w:fill="FFFFFF"/>
            <w:vAlign w:val="bottom"/>
          </w:tcPr>
          <w:p w14:paraId="6F3E0D90" w14:textId="77777777" w:rsidR="00A851B1" w:rsidRPr="00A851B1" w:rsidRDefault="00A851B1" w:rsidP="00A851B1">
            <w:pPr>
              <w:autoSpaceDE w:val="0"/>
              <w:autoSpaceDN w:val="0"/>
              <w:adjustRightInd w:val="0"/>
              <w:spacing w:line="320" w:lineRule="atLeast"/>
              <w:ind w:left="60" w:right="60"/>
              <w:jc w:val="center"/>
              <w:rPr>
                <w:rFonts w:ascii="Arial" w:hAnsi="Arial" w:cs="Arial"/>
                <w:color w:val="000000"/>
                <w:kern w:val="0"/>
                <w:sz w:val="18"/>
                <w:szCs w:val="18"/>
              </w:rPr>
            </w:pPr>
            <w:r w:rsidRPr="00A851B1">
              <w:rPr>
                <w:rFonts w:ascii="Arial" w:hAnsi="Arial" w:cs="Arial"/>
                <w:color w:val="000000"/>
                <w:kern w:val="0"/>
                <w:sz w:val="18"/>
                <w:szCs w:val="18"/>
              </w:rPr>
              <w:t>Percent</w:t>
            </w:r>
          </w:p>
        </w:tc>
        <w:tc>
          <w:tcPr>
            <w:tcW w:w="1398" w:type="dxa"/>
            <w:tcBorders>
              <w:top w:val="single" w:sz="16" w:space="0" w:color="000000"/>
              <w:bottom w:val="single" w:sz="16" w:space="0" w:color="000000"/>
            </w:tcBorders>
            <w:shd w:val="clear" w:color="auto" w:fill="FFFFFF"/>
            <w:vAlign w:val="bottom"/>
          </w:tcPr>
          <w:p w14:paraId="3A9B5323" w14:textId="77777777" w:rsidR="00A851B1" w:rsidRPr="00A851B1" w:rsidRDefault="00A851B1" w:rsidP="00A851B1">
            <w:pPr>
              <w:autoSpaceDE w:val="0"/>
              <w:autoSpaceDN w:val="0"/>
              <w:adjustRightInd w:val="0"/>
              <w:spacing w:line="320" w:lineRule="atLeast"/>
              <w:ind w:left="60" w:right="60"/>
              <w:jc w:val="center"/>
              <w:rPr>
                <w:rFonts w:ascii="Arial" w:hAnsi="Arial" w:cs="Arial"/>
                <w:color w:val="000000"/>
                <w:kern w:val="0"/>
                <w:sz w:val="18"/>
                <w:szCs w:val="18"/>
              </w:rPr>
            </w:pPr>
            <w:r w:rsidRPr="00A851B1">
              <w:rPr>
                <w:rFonts w:ascii="Arial" w:hAnsi="Arial" w:cs="Arial"/>
                <w:color w:val="000000"/>
                <w:kern w:val="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73D12913" w14:textId="77777777" w:rsidR="00A851B1" w:rsidRPr="00A851B1" w:rsidRDefault="00A851B1" w:rsidP="00A851B1">
            <w:pPr>
              <w:autoSpaceDE w:val="0"/>
              <w:autoSpaceDN w:val="0"/>
              <w:adjustRightInd w:val="0"/>
              <w:spacing w:line="320" w:lineRule="atLeast"/>
              <w:ind w:left="60" w:right="60"/>
              <w:jc w:val="center"/>
              <w:rPr>
                <w:rFonts w:ascii="Arial" w:hAnsi="Arial" w:cs="Arial"/>
                <w:color w:val="000000"/>
                <w:kern w:val="0"/>
                <w:sz w:val="18"/>
                <w:szCs w:val="18"/>
              </w:rPr>
            </w:pPr>
            <w:r w:rsidRPr="00A851B1">
              <w:rPr>
                <w:rFonts w:ascii="Arial" w:hAnsi="Arial" w:cs="Arial"/>
                <w:color w:val="000000"/>
                <w:kern w:val="0"/>
                <w:sz w:val="18"/>
                <w:szCs w:val="18"/>
              </w:rPr>
              <w:t>Cumulative Percent</w:t>
            </w:r>
          </w:p>
        </w:tc>
      </w:tr>
      <w:tr w:rsidR="00A851B1" w:rsidRPr="00A851B1" w14:paraId="05EDC1D8" w14:textId="77777777">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37793251" w14:textId="77777777" w:rsidR="00A851B1" w:rsidRPr="00A851B1" w:rsidRDefault="00A851B1" w:rsidP="00A851B1">
            <w:pPr>
              <w:autoSpaceDE w:val="0"/>
              <w:autoSpaceDN w:val="0"/>
              <w:adjustRightInd w:val="0"/>
              <w:spacing w:line="320" w:lineRule="atLeast"/>
              <w:ind w:left="60" w:right="60"/>
              <w:jc w:val="left"/>
              <w:rPr>
                <w:rFonts w:ascii="Arial" w:hAnsi="Arial" w:cs="Arial"/>
                <w:color w:val="000000"/>
                <w:kern w:val="0"/>
                <w:sz w:val="18"/>
                <w:szCs w:val="18"/>
              </w:rPr>
            </w:pPr>
            <w:r w:rsidRPr="00A851B1">
              <w:rPr>
                <w:rFonts w:ascii="Arial" w:hAnsi="Arial" w:cs="Arial"/>
                <w:color w:val="000000"/>
                <w:kern w:val="0"/>
                <w:sz w:val="18"/>
                <w:szCs w:val="18"/>
              </w:rPr>
              <w:t>Valid</w:t>
            </w:r>
          </w:p>
        </w:tc>
        <w:tc>
          <w:tcPr>
            <w:tcW w:w="737" w:type="dxa"/>
            <w:tcBorders>
              <w:top w:val="single" w:sz="16" w:space="0" w:color="000000"/>
              <w:left w:val="nil"/>
              <w:bottom w:val="nil"/>
              <w:right w:val="single" w:sz="16" w:space="0" w:color="000000"/>
            </w:tcBorders>
            <w:shd w:val="clear" w:color="auto" w:fill="FFFFFF"/>
          </w:tcPr>
          <w:p w14:paraId="3F8C2C49" w14:textId="77777777" w:rsidR="00A851B1" w:rsidRPr="00A851B1" w:rsidRDefault="00A851B1" w:rsidP="00A851B1">
            <w:pPr>
              <w:autoSpaceDE w:val="0"/>
              <w:autoSpaceDN w:val="0"/>
              <w:adjustRightInd w:val="0"/>
              <w:spacing w:line="320" w:lineRule="atLeast"/>
              <w:ind w:left="60" w:right="60"/>
              <w:jc w:val="left"/>
              <w:rPr>
                <w:rFonts w:ascii="Arial" w:hAnsi="Arial" w:cs="Arial"/>
                <w:color w:val="000000"/>
                <w:kern w:val="0"/>
                <w:sz w:val="18"/>
                <w:szCs w:val="18"/>
              </w:rPr>
            </w:pPr>
            <w:r w:rsidRPr="00A851B1">
              <w:rPr>
                <w:rFonts w:ascii="Arial" w:hAnsi="Arial" w:cs="Arial"/>
                <w:color w:val="000000"/>
                <w:kern w:val="0"/>
                <w:sz w:val="18"/>
                <w:szCs w:val="18"/>
              </w:rPr>
              <w:t>No</w:t>
            </w:r>
          </w:p>
        </w:tc>
        <w:tc>
          <w:tcPr>
            <w:tcW w:w="1168" w:type="dxa"/>
            <w:tcBorders>
              <w:top w:val="single" w:sz="16" w:space="0" w:color="000000"/>
              <w:left w:val="single" w:sz="16" w:space="0" w:color="000000"/>
              <w:bottom w:val="nil"/>
            </w:tcBorders>
            <w:shd w:val="clear" w:color="auto" w:fill="FFFFFF"/>
            <w:vAlign w:val="center"/>
          </w:tcPr>
          <w:p w14:paraId="7F8BC4B5" w14:textId="77777777" w:rsidR="00A851B1" w:rsidRPr="00A851B1" w:rsidRDefault="00A851B1" w:rsidP="00A851B1">
            <w:pPr>
              <w:autoSpaceDE w:val="0"/>
              <w:autoSpaceDN w:val="0"/>
              <w:adjustRightInd w:val="0"/>
              <w:spacing w:line="320" w:lineRule="atLeast"/>
              <w:ind w:left="60" w:right="60"/>
              <w:jc w:val="right"/>
              <w:rPr>
                <w:rFonts w:ascii="Arial" w:hAnsi="Arial" w:cs="Arial"/>
                <w:color w:val="000000"/>
                <w:kern w:val="0"/>
                <w:sz w:val="18"/>
                <w:szCs w:val="18"/>
              </w:rPr>
            </w:pPr>
            <w:r w:rsidRPr="00A851B1">
              <w:rPr>
                <w:rFonts w:ascii="Arial" w:hAnsi="Arial" w:cs="Arial"/>
                <w:color w:val="000000"/>
                <w:kern w:val="0"/>
                <w:sz w:val="18"/>
                <w:szCs w:val="18"/>
              </w:rPr>
              <w:t>1</w:t>
            </w:r>
          </w:p>
        </w:tc>
        <w:tc>
          <w:tcPr>
            <w:tcW w:w="1029" w:type="dxa"/>
            <w:tcBorders>
              <w:top w:val="single" w:sz="16" w:space="0" w:color="000000"/>
              <w:bottom w:val="nil"/>
            </w:tcBorders>
            <w:shd w:val="clear" w:color="auto" w:fill="FFFFFF"/>
            <w:vAlign w:val="center"/>
          </w:tcPr>
          <w:p w14:paraId="30064BF1" w14:textId="77777777" w:rsidR="00A851B1" w:rsidRPr="00A851B1" w:rsidRDefault="00A851B1" w:rsidP="00A851B1">
            <w:pPr>
              <w:autoSpaceDE w:val="0"/>
              <w:autoSpaceDN w:val="0"/>
              <w:adjustRightInd w:val="0"/>
              <w:spacing w:line="320" w:lineRule="atLeast"/>
              <w:ind w:left="60" w:right="60"/>
              <w:jc w:val="right"/>
              <w:rPr>
                <w:rFonts w:ascii="Arial" w:hAnsi="Arial" w:cs="Arial"/>
                <w:color w:val="000000"/>
                <w:kern w:val="0"/>
                <w:sz w:val="18"/>
                <w:szCs w:val="18"/>
              </w:rPr>
            </w:pPr>
            <w:r w:rsidRPr="00A851B1">
              <w:rPr>
                <w:rFonts w:ascii="Arial" w:hAnsi="Arial" w:cs="Arial"/>
                <w:color w:val="000000"/>
                <w:kern w:val="0"/>
                <w:sz w:val="18"/>
                <w:szCs w:val="18"/>
              </w:rPr>
              <w:t>1.0</w:t>
            </w:r>
          </w:p>
        </w:tc>
        <w:tc>
          <w:tcPr>
            <w:tcW w:w="1398" w:type="dxa"/>
            <w:tcBorders>
              <w:top w:val="single" w:sz="16" w:space="0" w:color="000000"/>
              <w:bottom w:val="nil"/>
            </w:tcBorders>
            <w:shd w:val="clear" w:color="auto" w:fill="FFFFFF"/>
            <w:vAlign w:val="center"/>
          </w:tcPr>
          <w:p w14:paraId="7C9C1D83" w14:textId="77777777" w:rsidR="00A851B1" w:rsidRPr="00A851B1" w:rsidRDefault="00A851B1" w:rsidP="00A851B1">
            <w:pPr>
              <w:autoSpaceDE w:val="0"/>
              <w:autoSpaceDN w:val="0"/>
              <w:adjustRightInd w:val="0"/>
              <w:spacing w:line="320" w:lineRule="atLeast"/>
              <w:ind w:left="60" w:right="60"/>
              <w:jc w:val="right"/>
              <w:rPr>
                <w:rFonts w:ascii="Arial" w:hAnsi="Arial" w:cs="Arial"/>
                <w:color w:val="000000"/>
                <w:kern w:val="0"/>
                <w:sz w:val="18"/>
                <w:szCs w:val="18"/>
              </w:rPr>
            </w:pPr>
            <w:r w:rsidRPr="00A851B1">
              <w:rPr>
                <w:rFonts w:ascii="Arial" w:hAnsi="Arial" w:cs="Arial"/>
                <w:color w:val="000000"/>
                <w:kern w:val="0"/>
                <w:sz w:val="18"/>
                <w:szCs w:val="18"/>
              </w:rPr>
              <w:t>1.0</w:t>
            </w:r>
          </w:p>
        </w:tc>
        <w:tc>
          <w:tcPr>
            <w:tcW w:w="1475" w:type="dxa"/>
            <w:tcBorders>
              <w:top w:val="single" w:sz="16" w:space="0" w:color="000000"/>
              <w:bottom w:val="nil"/>
              <w:right w:val="single" w:sz="16" w:space="0" w:color="000000"/>
            </w:tcBorders>
            <w:shd w:val="clear" w:color="auto" w:fill="FFFFFF"/>
            <w:vAlign w:val="center"/>
          </w:tcPr>
          <w:p w14:paraId="0C2516F1" w14:textId="77777777" w:rsidR="00A851B1" w:rsidRPr="00A851B1" w:rsidRDefault="00A851B1" w:rsidP="00A851B1">
            <w:pPr>
              <w:autoSpaceDE w:val="0"/>
              <w:autoSpaceDN w:val="0"/>
              <w:adjustRightInd w:val="0"/>
              <w:spacing w:line="320" w:lineRule="atLeast"/>
              <w:ind w:left="60" w:right="60"/>
              <w:jc w:val="right"/>
              <w:rPr>
                <w:rFonts w:ascii="Arial" w:hAnsi="Arial" w:cs="Arial"/>
                <w:color w:val="000000"/>
                <w:kern w:val="0"/>
                <w:sz w:val="18"/>
                <w:szCs w:val="18"/>
              </w:rPr>
            </w:pPr>
            <w:r w:rsidRPr="00A851B1">
              <w:rPr>
                <w:rFonts w:ascii="Arial" w:hAnsi="Arial" w:cs="Arial"/>
                <w:color w:val="000000"/>
                <w:kern w:val="0"/>
                <w:sz w:val="18"/>
                <w:szCs w:val="18"/>
              </w:rPr>
              <w:t>1.0</w:t>
            </w:r>
          </w:p>
        </w:tc>
      </w:tr>
      <w:tr w:rsidR="00A851B1" w:rsidRPr="00A851B1" w14:paraId="2F54D968"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D3227FB" w14:textId="77777777" w:rsidR="00A851B1" w:rsidRPr="00A851B1" w:rsidRDefault="00A851B1" w:rsidP="00A851B1">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nil"/>
              <w:right w:val="single" w:sz="16" w:space="0" w:color="000000"/>
            </w:tcBorders>
            <w:shd w:val="clear" w:color="auto" w:fill="FFFFFF"/>
          </w:tcPr>
          <w:p w14:paraId="5834779D" w14:textId="77777777" w:rsidR="00A851B1" w:rsidRPr="00A851B1" w:rsidRDefault="00A851B1" w:rsidP="00A851B1">
            <w:pPr>
              <w:autoSpaceDE w:val="0"/>
              <w:autoSpaceDN w:val="0"/>
              <w:adjustRightInd w:val="0"/>
              <w:spacing w:line="320" w:lineRule="atLeast"/>
              <w:ind w:left="60" w:right="60"/>
              <w:jc w:val="left"/>
              <w:rPr>
                <w:rFonts w:ascii="Arial" w:hAnsi="Arial" w:cs="Arial"/>
                <w:color w:val="000000"/>
                <w:kern w:val="0"/>
                <w:sz w:val="18"/>
                <w:szCs w:val="18"/>
              </w:rPr>
            </w:pPr>
            <w:r w:rsidRPr="00A851B1">
              <w:rPr>
                <w:rFonts w:ascii="Arial" w:hAnsi="Arial" w:cs="Arial"/>
                <w:color w:val="000000"/>
                <w:kern w:val="0"/>
                <w:sz w:val="18"/>
                <w:szCs w:val="18"/>
              </w:rPr>
              <w:t>Yes</w:t>
            </w:r>
          </w:p>
        </w:tc>
        <w:tc>
          <w:tcPr>
            <w:tcW w:w="1168" w:type="dxa"/>
            <w:tcBorders>
              <w:top w:val="nil"/>
              <w:left w:val="single" w:sz="16" w:space="0" w:color="000000"/>
              <w:bottom w:val="nil"/>
            </w:tcBorders>
            <w:shd w:val="clear" w:color="auto" w:fill="FFFFFF"/>
            <w:vAlign w:val="center"/>
          </w:tcPr>
          <w:p w14:paraId="6FDD9B0C" w14:textId="77777777" w:rsidR="00A851B1" w:rsidRPr="00A851B1" w:rsidRDefault="00A851B1" w:rsidP="00A851B1">
            <w:pPr>
              <w:autoSpaceDE w:val="0"/>
              <w:autoSpaceDN w:val="0"/>
              <w:adjustRightInd w:val="0"/>
              <w:spacing w:line="320" w:lineRule="atLeast"/>
              <w:ind w:left="60" w:right="60"/>
              <w:jc w:val="right"/>
              <w:rPr>
                <w:rFonts w:ascii="Arial" w:hAnsi="Arial" w:cs="Arial"/>
                <w:color w:val="000000"/>
                <w:kern w:val="0"/>
                <w:sz w:val="18"/>
                <w:szCs w:val="18"/>
              </w:rPr>
            </w:pPr>
            <w:r w:rsidRPr="00A851B1">
              <w:rPr>
                <w:rFonts w:ascii="Arial" w:hAnsi="Arial" w:cs="Arial"/>
                <w:color w:val="000000"/>
                <w:kern w:val="0"/>
                <w:sz w:val="18"/>
                <w:szCs w:val="18"/>
              </w:rPr>
              <w:t>99</w:t>
            </w:r>
          </w:p>
        </w:tc>
        <w:tc>
          <w:tcPr>
            <w:tcW w:w="1029" w:type="dxa"/>
            <w:tcBorders>
              <w:top w:val="nil"/>
              <w:bottom w:val="nil"/>
            </w:tcBorders>
            <w:shd w:val="clear" w:color="auto" w:fill="FFFFFF"/>
            <w:vAlign w:val="center"/>
          </w:tcPr>
          <w:p w14:paraId="23921379" w14:textId="77777777" w:rsidR="00A851B1" w:rsidRPr="00A851B1" w:rsidRDefault="00A851B1" w:rsidP="00A851B1">
            <w:pPr>
              <w:autoSpaceDE w:val="0"/>
              <w:autoSpaceDN w:val="0"/>
              <w:adjustRightInd w:val="0"/>
              <w:spacing w:line="320" w:lineRule="atLeast"/>
              <w:ind w:left="60" w:right="60"/>
              <w:jc w:val="right"/>
              <w:rPr>
                <w:rFonts w:ascii="Arial" w:hAnsi="Arial" w:cs="Arial"/>
                <w:color w:val="000000"/>
                <w:kern w:val="0"/>
                <w:sz w:val="18"/>
                <w:szCs w:val="18"/>
              </w:rPr>
            </w:pPr>
            <w:r w:rsidRPr="00A851B1">
              <w:rPr>
                <w:rFonts w:ascii="Arial" w:hAnsi="Arial" w:cs="Arial"/>
                <w:color w:val="000000"/>
                <w:kern w:val="0"/>
                <w:sz w:val="18"/>
                <w:szCs w:val="18"/>
              </w:rPr>
              <w:t>99.0</w:t>
            </w:r>
          </w:p>
        </w:tc>
        <w:tc>
          <w:tcPr>
            <w:tcW w:w="1398" w:type="dxa"/>
            <w:tcBorders>
              <w:top w:val="nil"/>
              <w:bottom w:val="nil"/>
            </w:tcBorders>
            <w:shd w:val="clear" w:color="auto" w:fill="FFFFFF"/>
            <w:vAlign w:val="center"/>
          </w:tcPr>
          <w:p w14:paraId="3601C307" w14:textId="77777777" w:rsidR="00A851B1" w:rsidRPr="00A851B1" w:rsidRDefault="00A851B1" w:rsidP="00A851B1">
            <w:pPr>
              <w:autoSpaceDE w:val="0"/>
              <w:autoSpaceDN w:val="0"/>
              <w:adjustRightInd w:val="0"/>
              <w:spacing w:line="320" w:lineRule="atLeast"/>
              <w:ind w:left="60" w:right="60"/>
              <w:jc w:val="right"/>
              <w:rPr>
                <w:rFonts w:ascii="Arial" w:hAnsi="Arial" w:cs="Arial"/>
                <w:color w:val="000000"/>
                <w:kern w:val="0"/>
                <w:sz w:val="18"/>
                <w:szCs w:val="18"/>
              </w:rPr>
            </w:pPr>
            <w:r w:rsidRPr="00A851B1">
              <w:rPr>
                <w:rFonts w:ascii="Arial" w:hAnsi="Arial" w:cs="Arial"/>
                <w:color w:val="000000"/>
                <w:kern w:val="0"/>
                <w:sz w:val="18"/>
                <w:szCs w:val="18"/>
              </w:rPr>
              <w:t>99.0</w:t>
            </w:r>
          </w:p>
        </w:tc>
        <w:tc>
          <w:tcPr>
            <w:tcW w:w="1475" w:type="dxa"/>
            <w:tcBorders>
              <w:top w:val="nil"/>
              <w:bottom w:val="nil"/>
              <w:right w:val="single" w:sz="16" w:space="0" w:color="000000"/>
            </w:tcBorders>
            <w:shd w:val="clear" w:color="auto" w:fill="FFFFFF"/>
            <w:vAlign w:val="center"/>
          </w:tcPr>
          <w:p w14:paraId="7CA3B49D" w14:textId="77777777" w:rsidR="00A851B1" w:rsidRPr="00A851B1" w:rsidRDefault="00A851B1" w:rsidP="00A851B1">
            <w:pPr>
              <w:autoSpaceDE w:val="0"/>
              <w:autoSpaceDN w:val="0"/>
              <w:adjustRightInd w:val="0"/>
              <w:spacing w:line="320" w:lineRule="atLeast"/>
              <w:ind w:left="60" w:right="60"/>
              <w:jc w:val="right"/>
              <w:rPr>
                <w:rFonts w:ascii="Arial" w:hAnsi="Arial" w:cs="Arial"/>
                <w:color w:val="000000"/>
                <w:kern w:val="0"/>
                <w:sz w:val="18"/>
                <w:szCs w:val="18"/>
              </w:rPr>
            </w:pPr>
            <w:r w:rsidRPr="00A851B1">
              <w:rPr>
                <w:rFonts w:ascii="Arial" w:hAnsi="Arial" w:cs="Arial"/>
                <w:color w:val="000000"/>
                <w:kern w:val="0"/>
                <w:sz w:val="18"/>
                <w:szCs w:val="18"/>
              </w:rPr>
              <w:t>100.0</w:t>
            </w:r>
          </w:p>
        </w:tc>
      </w:tr>
      <w:tr w:rsidR="00A851B1" w:rsidRPr="00A851B1" w14:paraId="068148DF"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52533AF" w14:textId="77777777" w:rsidR="00A851B1" w:rsidRPr="00A851B1" w:rsidRDefault="00A851B1" w:rsidP="00A851B1">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single" w:sz="16" w:space="0" w:color="000000"/>
              <w:right w:val="single" w:sz="16" w:space="0" w:color="000000"/>
            </w:tcBorders>
            <w:shd w:val="clear" w:color="auto" w:fill="FFFFFF"/>
          </w:tcPr>
          <w:p w14:paraId="5F3CB6A9" w14:textId="77777777" w:rsidR="00A851B1" w:rsidRPr="00A851B1" w:rsidRDefault="00A851B1" w:rsidP="00A851B1">
            <w:pPr>
              <w:autoSpaceDE w:val="0"/>
              <w:autoSpaceDN w:val="0"/>
              <w:adjustRightInd w:val="0"/>
              <w:spacing w:line="320" w:lineRule="atLeast"/>
              <w:ind w:left="60" w:right="60"/>
              <w:jc w:val="left"/>
              <w:rPr>
                <w:rFonts w:ascii="Arial" w:hAnsi="Arial" w:cs="Arial"/>
                <w:color w:val="000000"/>
                <w:kern w:val="0"/>
                <w:sz w:val="18"/>
                <w:szCs w:val="18"/>
              </w:rPr>
            </w:pPr>
            <w:r w:rsidRPr="00A851B1">
              <w:rPr>
                <w:rFonts w:ascii="Arial" w:hAnsi="Arial" w:cs="Arial"/>
                <w:color w:val="000000"/>
                <w:kern w:val="0"/>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3738556D" w14:textId="77777777" w:rsidR="00A851B1" w:rsidRPr="00A851B1" w:rsidRDefault="00A851B1" w:rsidP="00A851B1">
            <w:pPr>
              <w:autoSpaceDE w:val="0"/>
              <w:autoSpaceDN w:val="0"/>
              <w:adjustRightInd w:val="0"/>
              <w:spacing w:line="320" w:lineRule="atLeast"/>
              <w:ind w:left="60" w:right="60"/>
              <w:jc w:val="right"/>
              <w:rPr>
                <w:rFonts w:ascii="Arial" w:hAnsi="Arial" w:cs="Arial"/>
                <w:color w:val="000000"/>
                <w:kern w:val="0"/>
                <w:sz w:val="18"/>
                <w:szCs w:val="18"/>
              </w:rPr>
            </w:pPr>
            <w:r w:rsidRPr="00A851B1">
              <w:rPr>
                <w:rFonts w:ascii="Arial" w:hAnsi="Arial" w:cs="Arial"/>
                <w:color w:val="000000"/>
                <w:kern w:val="0"/>
                <w:sz w:val="18"/>
                <w:szCs w:val="18"/>
              </w:rPr>
              <w:t>100</w:t>
            </w:r>
          </w:p>
        </w:tc>
        <w:tc>
          <w:tcPr>
            <w:tcW w:w="1029" w:type="dxa"/>
            <w:tcBorders>
              <w:top w:val="nil"/>
              <w:bottom w:val="single" w:sz="16" w:space="0" w:color="000000"/>
            </w:tcBorders>
            <w:shd w:val="clear" w:color="auto" w:fill="FFFFFF"/>
            <w:vAlign w:val="center"/>
          </w:tcPr>
          <w:p w14:paraId="0731FCE2" w14:textId="77777777" w:rsidR="00A851B1" w:rsidRPr="00A851B1" w:rsidRDefault="00A851B1" w:rsidP="00A851B1">
            <w:pPr>
              <w:autoSpaceDE w:val="0"/>
              <w:autoSpaceDN w:val="0"/>
              <w:adjustRightInd w:val="0"/>
              <w:spacing w:line="320" w:lineRule="atLeast"/>
              <w:ind w:left="60" w:right="60"/>
              <w:jc w:val="right"/>
              <w:rPr>
                <w:rFonts w:ascii="Arial" w:hAnsi="Arial" w:cs="Arial"/>
                <w:color w:val="000000"/>
                <w:kern w:val="0"/>
                <w:sz w:val="18"/>
                <w:szCs w:val="18"/>
              </w:rPr>
            </w:pPr>
            <w:r w:rsidRPr="00A851B1">
              <w:rPr>
                <w:rFonts w:ascii="Arial" w:hAnsi="Arial" w:cs="Arial"/>
                <w:color w:val="000000"/>
                <w:kern w:val="0"/>
                <w:sz w:val="18"/>
                <w:szCs w:val="18"/>
              </w:rPr>
              <w:t>100.0</w:t>
            </w:r>
          </w:p>
        </w:tc>
        <w:tc>
          <w:tcPr>
            <w:tcW w:w="1398" w:type="dxa"/>
            <w:tcBorders>
              <w:top w:val="nil"/>
              <w:bottom w:val="single" w:sz="16" w:space="0" w:color="000000"/>
            </w:tcBorders>
            <w:shd w:val="clear" w:color="auto" w:fill="FFFFFF"/>
            <w:vAlign w:val="center"/>
          </w:tcPr>
          <w:p w14:paraId="23BF2C1E" w14:textId="77777777" w:rsidR="00A851B1" w:rsidRPr="00A851B1" w:rsidRDefault="00A851B1" w:rsidP="00A851B1">
            <w:pPr>
              <w:autoSpaceDE w:val="0"/>
              <w:autoSpaceDN w:val="0"/>
              <w:adjustRightInd w:val="0"/>
              <w:spacing w:line="320" w:lineRule="atLeast"/>
              <w:ind w:left="60" w:right="60"/>
              <w:jc w:val="right"/>
              <w:rPr>
                <w:rFonts w:ascii="Arial" w:hAnsi="Arial" w:cs="Arial"/>
                <w:color w:val="000000"/>
                <w:kern w:val="0"/>
                <w:sz w:val="18"/>
                <w:szCs w:val="18"/>
              </w:rPr>
            </w:pPr>
            <w:r w:rsidRPr="00A851B1">
              <w:rPr>
                <w:rFonts w:ascii="Arial" w:hAnsi="Arial" w:cs="Arial"/>
                <w:color w:val="000000"/>
                <w:kern w:val="0"/>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780C2F58" w14:textId="77777777" w:rsidR="00A851B1" w:rsidRPr="00A851B1" w:rsidRDefault="00A851B1" w:rsidP="00A851B1">
            <w:pPr>
              <w:autoSpaceDE w:val="0"/>
              <w:autoSpaceDN w:val="0"/>
              <w:adjustRightInd w:val="0"/>
              <w:spacing w:line="240" w:lineRule="auto"/>
              <w:jc w:val="left"/>
              <w:rPr>
                <w:rFonts w:ascii="Times New Roman" w:hAnsi="Times New Roman" w:cs="Times New Roman"/>
                <w:kern w:val="0"/>
                <w:sz w:val="24"/>
                <w:szCs w:val="24"/>
              </w:rPr>
            </w:pPr>
          </w:p>
        </w:tc>
      </w:tr>
    </w:tbl>
    <w:p w14:paraId="28D536E7" w14:textId="77777777" w:rsidR="00A851B1" w:rsidRDefault="00A851B1" w:rsidP="00A851B1">
      <w:pPr>
        <w:autoSpaceDE w:val="0"/>
        <w:autoSpaceDN w:val="0"/>
        <w:adjustRightInd w:val="0"/>
        <w:spacing w:line="400" w:lineRule="atLeast"/>
        <w:jc w:val="left"/>
        <w:rPr>
          <w:rFonts w:ascii="Times New Roman" w:hAnsi="Times New Roman" w:cs="Times New Roman"/>
          <w:kern w:val="0"/>
          <w:sz w:val="24"/>
          <w:szCs w:val="24"/>
        </w:rPr>
      </w:pPr>
    </w:p>
    <w:p w14:paraId="1ACD1835" w14:textId="77777777" w:rsidR="00883305" w:rsidRDefault="00883305" w:rsidP="00A851B1">
      <w:pPr>
        <w:autoSpaceDE w:val="0"/>
        <w:autoSpaceDN w:val="0"/>
        <w:adjustRightInd w:val="0"/>
        <w:spacing w:line="400" w:lineRule="atLeast"/>
        <w:jc w:val="left"/>
        <w:rPr>
          <w:rFonts w:ascii="Times New Roman" w:hAnsi="Times New Roman" w:cs="Times New Roman"/>
          <w:kern w:val="0"/>
          <w:sz w:val="24"/>
          <w:szCs w:val="24"/>
        </w:rPr>
      </w:pPr>
    </w:p>
    <w:p w14:paraId="3758AF0C" w14:textId="77777777" w:rsidR="005536D4" w:rsidRPr="005536D4" w:rsidRDefault="005536D4" w:rsidP="005536D4">
      <w:pPr>
        <w:autoSpaceDE w:val="0"/>
        <w:autoSpaceDN w:val="0"/>
        <w:adjustRightInd w:val="0"/>
        <w:spacing w:line="400" w:lineRule="atLeast"/>
        <w:jc w:val="left"/>
        <w:rPr>
          <w:rFonts w:ascii="Times New Roman" w:hAnsi="Times New Roman" w:cs="Times New Roman"/>
          <w:kern w:val="0"/>
          <w:sz w:val="24"/>
          <w:szCs w:val="24"/>
        </w:rPr>
      </w:pPr>
      <w:r w:rsidRPr="005536D4">
        <w:rPr>
          <w:rFonts w:ascii="Times New Roman" w:hAnsi="Times New Roman" w:cs="Times New Roman"/>
          <w:kern w:val="0"/>
          <w:sz w:val="24"/>
          <w:szCs w:val="24"/>
        </w:rPr>
        <w:t xml:space="preserve">17.The table shows the results of a quantitative study that asked participants whether there </w:t>
      </w:r>
      <w:proofErr w:type="gramStart"/>
      <w:r w:rsidRPr="005536D4">
        <w:rPr>
          <w:rFonts w:ascii="Times New Roman" w:hAnsi="Times New Roman" w:cs="Times New Roman"/>
          <w:kern w:val="0"/>
          <w:sz w:val="24"/>
          <w:szCs w:val="24"/>
        </w:rPr>
        <w:t>are</w:t>
      </w:r>
      <w:proofErr w:type="gramEnd"/>
      <w:r w:rsidRPr="005536D4">
        <w:rPr>
          <w:rFonts w:ascii="Times New Roman" w:hAnsi="Times New Roman" w:cs="Times New Roman"/>
          <w:kern w:val="0"/>
          <w:sz w:val="24"/>
          <w:szCs w:val="24"/>
        </w:rPr>
        <w:t xml:space="preserve"> sufficient gender-specific resources available in their workplace to support Gender-Based Violence (GBV) survivors or gender-diverse clients. These resources may include guidelines, toolkits, or referral networks. Out of 100 respondents, 99 (which is 99%) answered “Yes,” indicating that such resources are available in their workplaces. Only 1 person (1%) said “No,” suggesting that they do not have sufficient resources to support GBV survivors or gender-diverse clients. This clearly shows that the vast majority of participants believe that the necessary tools and systems are in place to support people facing GBV.</w:t>
      </w:r>
    </w:p>
    <w:p w14:paraId="60404350" w14:textId="77777777" w:rsidR="005536D4" w:rsidRPr="005536D4" w:rsidRDefault="005536D4" w:rsidP="005536D4">
      <w:pPr>
        <w:autoSpaceDE w:val="0"/>
        <w:autoSpaceDN w:val="0"/>
        <w:adjustRightInd w:val="0"/>
        <w:spacing w:line="400" w:lineRule="atLeast"/>
        <w:jc w:val="left"/>
        <w:rPr>
          <w:rFonts w:ascii="Times New Roman" w:hAnsi="Times New Roman" w:cs="Times New Roman"/>
          <w:kern w:val="0"/>
          <w:sz w:val="24"/>
          <w:szCs w:val="24"/>
        </w:rPr>
      </w:pPr>
    </w:p>
    <w:p w14:paraId="1C6339BE" w14:textId="77777777" w:rsidR="005536D4" w:rsidRPr="005536D4" w:rsidRDefault="005536D4" w:rsidP="005536D4">
      <w:pPr>
        <w:autoSpaceDE w:val="0"/>
        <w:autoSpaceDN w:val="0"/>
        <w:adjustRightInd w:val="0"/>
        <w:spacing w:line="400" w:lineRule="atLeast"/>
        <w:jc w:val="left"/>
        <w:rPr>
          <w:rFonts w:ascii="Times New Roman" w:hAnsi="Times New Roman" w:cs="Times New Roman"/>
          <w:kern w:val="0"/>
          <w:sz w:val="24"/>
          <w:szCs w:val="24"/>
        </w:rPr>
      </w:pPr>
      <w:r w:rsidRPr="005536D4">
        <w:rPr>
          <w:rFonts w:ascii="Times New Roman" w:hAnsi="Times New Roman" w:cs="Times New Roman"/>
          <w:kern w:val="0"/>
          <w:sz w:val="24"/>
          <w:szCs w:val="24"/>
        </w:rPr>
        <w:t>This result is very important because it shows a positive trend in the readiness of workplaces to handle GBV-related cases. The availability of gender-specific resources is essential for providing appropriate and effective support. When guidelines and referral systems are in place, staff are better equipped to respond to the unique needs of GBV survivors and clients with diverse gender identities. The fact that 99% of respondents confirmed the presence of these resources suggests that there is growing awareness and commitment to addressing GBV in professional settings. It may also indicate that training and policies related to gender issues are becoming more common and accessible.</w:t>
      </w:r>
    </w:p>
    <w:p w14:paraId="25AAF429" w14:textId="77777777" w:rsidR="005536D4" w:rsidRPr="005536D4" w:rsidRDefault="005536D4" w:rsidP="005536D4">
      <w:pPr>
        <w:autoSpaceDE w:val="0"/>
        <w:autoSpaceDN w:val="0"/>
        <w:adjustRightInd w:val="0"/>
        <w:spacing w:line="400" w:lineRule="atLeast"/>
        <w:jc w:val="left"/>
        <w:rPr>
          <w:rFonts w:ascii="Times New Roman" w:hAnsi="Times New Roman" w:cs="Times New Roman"/>
          <w:kern w:val="0"/>
          <w:sz w:val="24"/>
          <w:szCs w:val="24"/>
        </w:rPr>
      </w:pPr>
    </w:p>
    <w:p w14:paraId="7B502227" w14:textId="0D409EE6" w:rsidR="00883305" w:rsidRDefault="005536D4" w:rsidP="00A851B1">
      <w:pPr>
        <w:autoSpaceDE w:val="0"/>
        <w:autoSpaceDN w:val="0"/>
        <w:adjustRightInd w:val="0"/>
        <w:spacing w:line="400" w:lineRule="atLeast"/>
        <w:jc w:val="left"/>
        <w:rPr>
          <w:rFonts w:ascii="Times New Roman" w:hAnsi="Times New Roman" w:cs="Times New Roman"/>
          <w:kern w:val="0"/>
          <w:sz w:val="24"/>
          <w:szCs w:val="24"/>
        </w:rPr>
      </w:pPr>
      <w:r w:rsidRPr="005536D4">
        <w:rPr>
          <w:rFonts w:ascii="Times New Roman" w:hAnsi="Times New Roman" w:cs="Times New Roman"/>
          <w:kern w:val="0"/>
          <w:sz w:val="24"/>
          <w:szCs w:val="24"/>
        </w:rPr>
        <w:t>In conclusion, this data reveals a strong level of support for GBV survivors in most workplaces included in the study. While the 1% who reported a lack of resources should not be ignored, the overall finding is encouraging. It shows that most organizations are making efforts to ensure that gender-specific support systems are available. This is a positive step toward building safer, more inclusive, and responsive environments for both survivors and professionals working in the field. Continued efforts are needed to maintain and improve these resources so that all individuals, regardless of where they work, have access to the support they need</w:t>
      </w:r>
    </w:p>
    <w:p w14:paraId="566FDD74" w14:textId="77777777" w:rsidR="008F72F0" w:rsidRDefault="008F72F0" w:rsidP="00A851B1">
      <w:pPr>
        <w:autoSpaceDE w:val="0"/>
        <w:autoSpaceDN w:val="0"/>
        <w:adjustRightInd w:val="0"/>
        <w:spacing w:line="400" w:lineRule="atLeast"/>
        <w:jc w:val="left"/>
        <w:rPr>
          <w:rFonts w:ascii="Times New Roman" w:hAnsi="Times New Roman" w:cs="Times New Roman"/>
          <w:kern w:val="0"/>
          <w:sz w:val="24"/>
          <w:szCs w:val="24"/>
        </w:rPr>
      </w:pPr>
    </w:p>
    <w:p w14:paraId="4BD0219E" w14:textId="77777777" w:rsidR="008F72F0" w:rsidRPr="00A851B1" w:rsidRDefault="008F72F0" w:rsidP="00A851B1">
      <w:pPr>
        <w:autoSpaceDE w:val="0"/>
        <w:autoSpaceDN w:val="0"/>
        <w:adjustRightInd w:val="0"/>
        <w:spacing w:line="400" w:lineRule="atLeast"/>
        <w:jc w:val="left"/>
        <w:rPr>
          <w:rFonts w:ascii="Times New Roman" w:hAnsi="Times New Roman" w:cs="Times New Roman"/>
          <w:kern w:val="0"/>
          <w:sz w:val="24"/>
          <w:szCs w:val="24"/>
        </w:rPr>
      </w:pPr>
    </w:p>
    <w:p w14:paraId="712129BE" w14:textId="77777777" w:rsidR="00216D16" w:rsidRPr="00216D16" w:rsidRDefault="00216D16" w:rsidP="00216D16">
      <w:pPr>
        <w:autoSpaceDE w:val="0"/>
        <w:autoSpaceDN w:val="0"/>
        <w:adjustRightInd w:val="0"/>
        <w:spacing w:line="240" w:lineRule="auto"/>
        <w:jc w:val="left"/>
        <w:rPr>
          <w:rFonts w:ascii="Times New Roman" w:hAnsi="Times New Roman" w:cs="Times New Roman"/>
          <w:kern w:val="0"/>
          <w:sz w:val="24"/>
          <w:szCs w:val="24"/>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216D16" w:rsidRPr="00216D16" w14:paraId="036E0B39" w14:textId="77777777">
        <w:trPr>
          <w:cantSplit/>
        </w:trPr>
        <w:tc>
          <w:tcPr>
            <w:tcW w:w="6544" w:type="dxa"/>
            <w:gridSpan w:val="6"/>
            <w:tcBorders>
              <w:top w:val="nil"/>
              <w:left w:val="nil"/>
              <w:bottom w:val="nil"/>
              <w:right w:val="nil"/>
            </w:tcBorders>
            <w:shd w:val="clear" w:color="auto" w:fill="FFFFFF"/>
            <w:vAlign w:val="center"/>
          </w:tcPr>
          <w:p w14:paraId="204B4A4C" w14:textId="77777777" w:rsidR="00216D16" w:rsidRPr="00216D16" w:rsidRDefault="00216D16" w:rsidP="00216D16">
            <w:pPr>
              <w:autoSpaceDE w:val="0"/>
              <w:autoSpaceDN w:val="0"/>
              <w:adjustRightInd w:val="0"/>
              <w:spacing w:line="320" w:lineRule="atLeast"/>
              <w:ind w:left="60" w:right="60"/>
              <w:jc w:val="center"/>
              <w:rPr>
                <w:rFonts w:ascii="Arial" w:hAnsi="Arial" w:cs="Arial"/>
                <w:color w:val="000000"/>
                <w:kern w:val="0"/>
                <w:sz w:val="18"/>
                <w:szCs w:val="18"/>
              </w:rPr>
            </w:pPr>
            <w:r w:rsidRPr="00216D16">
              <w:rPr>
                <w:rFonts w:ascii="Arial" w:hAnsi="Arial" w:cs="Arial"/>
                <w:b/>
                <w:bCs/>
                <w:color w:val="000000"/>
                <w:kern w:val="0"/>
                <w:sz w:val="18"/>
                <w:szCs w:val="18"/>
              </w:rPr>
              <w:lastRenderedPageBreak/>
              <w:t>18. Are there sufficient gender-specific resources (e.g., guidelines, toolkits, referral networks) available in your workplace to support GBV survivors or gender-diverse clients?</w:t>
            </w:r>
          </w:p>
        </w:tc>
      </w:tr>
      <w:tr w:rsidR="00216D16" w:rsidRPr="00216D16" w14:paraId="25FDE0C6" w14:textId="77777777">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2FB1335E" w14:textId="77777777" w:rsidR="00216D16" w:rsidRPr="00216D16" w:rsidRDefault="00216D16" w:rsidP="00216D16">
            <w:pPr>
              <w:autoSpaceDE w:val="0"/>
              <w:autoSpaceDN w:val="0"/>
              <w:adjustRightInd w:val="0"/>
              <w:spacing w:line="240" w:lineRule="auto"/>
              <w:jc w:val="left"/>
              <w:rPr>
                <w:rFonts w:ascii="Times New Roman" w:hAnsi="Times New Roman" w:cs="Times New Roman"/>
                <w:kern w:val="0"/>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14:paraId="3C0C76B0" w14:textId="77777777" w:rsidR="00216D16" w:rsidRPr="00216D16" w:rsidRDefault="00216D16" w:rsidP="00216D16">
            <w:pPr>
              <w:autoSpaceDE w:val="0"/>
              <w:autoSpaceDN w:val="0"/>
              <w:adjustRightInd w:val="0"/>
              <w:spacing w:line="320" w:lineRule="atLeast"/>
              <w:ind w:left="60" w:right="60"/>
              <w:jc w:val="center"/>
              <w:rPr>
                <w:rFonts w:ascii="Arial" w:hAnsi="Arial" w:cs="Arial"/>
                <w:color w:val="000000"/>
                <w:kern w:val="0"/>
                <w:sz w:val="18"/>
                <w:szCs w:val="18"/>
              </w:rPr>
            </w:pPr>
            <w:r w:rsidRPr="00216D16">
              <w:rPr>
                <w:rFonts w:ascii="Arial" w:hAnsi="Arial" w:cs="Arial"/>
                <w:color w:val="000000"/>
                <w:kern w:val="0"/>
                <w:sz w:val="18"/>
                <w:szCs w:val="18"/>
              </w:rPr>
              <w:t>Frequency</w:t>
            </w:r>
          </w:p>
        </w:tc>
        <w:tc>
          <w:tcPr>
            <w:tcW w:w="1029" w:type="dxa"/>
            <w:tcBorders>
              <w:top w:val="single" w:sz="16" w:space="0" w:color="000000"/>
              <w:bottom w:val="single" w:sz="16" w:space="0" w:color="000000"/>
            </w:tcBorders>
            <w:shd w:val="clear" w:color="auto" w:fill="FFFFFF"/>
            <w:vAlign w:val="bottom"/>
          </w:tcPr>
          <w:p w14:paraId="45321A19" w14:textId="77777777" w:rsidR="00216D16" w:rsidRPr="00216D16" w:rsidRDefault="00216D16" w:rsidP="00216D16">
            <w:pPr>
              <w:autoSpaceDE w:val="0"/>
              <w:autoSpaceDN w:val="0"/>
              <w:adjustRightInd w:val="0"/>
              <w:spacing w:line="320" w:lineRule="atLeast"/>
              <w:ind w:left="60" w:right="60"/>
              <w:jc w:val="center"/>
              <w:rPr>
                <w:rFonts w:ascii="Arial" w:hAnsi="Arial" w:cs="Arial"/>
                <w:color w:val="000000"/>
                <w:kern w:val="0"/>
                <w:sz w:val="18"/>
                <w:szCs w:val="18"/>
              </w:rPr>
            </w:pPr>
            <w:r w:rsidRPr="00216D16">
              <w:rPr>
                <w:rFonts w:ascii="Arial" w:hAnsi="Arial" w:cs="Arial"/>
                <w:color w:val="000000"/>
                <w:kern w:val="0"/>
                <w:sz w:val="18"/>
                <w:szCs w:val="18"/>
              </w:rPr>
              <w:t>Percent</w:t>
            </w:r>
          </w:p>
        </w:tc>
        <w:tc>
          <w:tcPr>
            <w:tcW w:w="1398" w:type="dxa"/>
            <w:tcBorders>
              <w:top w:val="single" w:sz="16" w:space="0" w:color="000000"/>
              <w:bottom w:val="single" w:sz="16" w:space="0" w:color="000000"/>
            </w:tcBorders>
            <w:shd w:val="clear" w:color="auto" w:fill="FFFFFF"/>
            <w:vAlign w:val="bottom"/>
          </w:tcPr>
          <w:p w14:paraId="2E201AF5" w14:textId="77777777" w:rsidR="00216D16" w:rsidRPr="00216D16" w:rsidRDefault="00216D16" w:rsidP="00216D16">
            <w:pPr>
              <w:autoSpaceDE w:val="0"/>
              <w:autoSpaceDN w:val="0"/>
              <w:adjustRightInd w:val="0"/>
              <w:spacing w:line="320" w:lineRule="atLeast"/>
              <w:ind w:left="60" w:right="60"/>
              <w:jc w:val="center"/>
              <w:rPr>
                <w:rFonts w:ascii="Arial" w:hAnsi="Arial" w:cs="Arial"/>
                <w:color w:val="000000"/>
                <w:kern w:val="0"/>
                <w:sz w:val="18"/>
                <w:szCs w:val="18"/>
              </w:rPr>
            </w:pPr>
            <w:r w:rsidRPr="00216D16">
              <w:rPr>
                <w:rFonts w:ascii="Arial" w:hAnsi="Arial" w:cs="Arial"/>
                <w:color w:val="000000"/>
                <w:kern w:val="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20B6F5BC" w14:textId="77777777" w:rsidR="00216D16" w:rsidRPr="00216D16" w:rsidRDefault="00216D16" w:rsidP="00216D16">
            <w:pPr>
              <w:autoSpaceDE w:val="0"/>
              <w:autoSpaceDN w:val="0"/>
              <w:adjustRightInd w:val="0"/>
              <w:spacing w:line="320" w:lineRule="atLeast"/>
              <w:ind w:left="60" w:right="60"/>
              <w:jc w:val="center"/>
              <w:rPr>
                <w:rFonts w:ascii="Arial" w:hAnsi="Arial" w:cs="Arial"/>
                <w:color w:val="000000"/>
                <w:kern w:val="0"/>
                <w:sz w:val="18"/>
                <w:szCs w:val="18"/>
              </w:rPr>
            </w:pPr>
            <w:r w:rsidRPr="00216D16">
              <w:rPr>
                <w:rFonts w:ascii="Arial" w:hAnsi="Arial" w:cs="Arial"/>
                <w:color w:val="000000"/>
                <w:kern w:val="0"/>
                <w:sz w:val="18"/>
                <w:szCs w:val="18"/>
              </w:rPr>
              <w:t>Cumulative Percent</w:t>
            </w:r>
          </w:p>
        </w:tc>
      </w:tr>
      <w:tr w:rsidR="00216D16" w:rsidRPr="00216D16" w14:paraId="5767218A" w14:textId="77777777">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17A4DD9B" w14:textId="77777777" w:rsidR="00216D16" w:rsidRPr="00216D16" w:rsidRDefault="00216D16" w:rsidP="00216D16">
            <w:pPr>
              <w:autoSpaceDE w:val="0"/>
              <w:autoSpaceDN w:val="0"/>
              <w:adjustRightInd w:val="0"/>
              <w:spacing w:line="320" w:lineRule="atLeast"/>
              <w:ind w:left="60" w:right="60"/>
              <w:jc w:val="left"/>
              <w:rPr>
                <w:rFonts w:ascii="Arial" w:hAnsi="Arial" w:cs="Arial"/>
                <w:color w:val="000000"/>
                <w:kern w:val="0"/>
                <w:sz w:val="18"/>
                <w:szCs w:val="18"/>
              </w:rPr>
            </w:pPr>
            <w:r w:rsidRPr="00216D16">
              <w:rPr>
                <w:rFonts w:ascii="Arial" w:hAnsi="Arial" w:cs="Arial"/>
                <w:color w:val="000000"/>
                <w:kern w:val="0"/>
                <w:sz w:val="18"/>
                <w:szCs w:val="18"/>
              </w:rPr>
              <w:t>Valid</w:t>
            </w:r>
          </w:p>
        </w:tc>
        <w:tc>
          <w:tcPr>
            <w:tcW w:w="737" w:type="dxa"/>
            <w:tcBorders>
              <w:top w:val="single" w:sz="16" w:space="0" w:color="000000"/>
              <w:left w:val="nil"/>
              <w:bottom w:val="nil"/>
              <w:right w:val="single" w:sz="16" w:space="0" w:color="000000"/>
            </w:tcBorders>
            <w:shd w:val="clear" w:color="auto" w:fill="FFFFFF"/>
          </w:tcPr>
          <w:p w14:paraId="2AD63656" w14:textId="77777777" w:rsidR="00216D16" w:rsidRPr="00216D16" w:rsidRDefault="00216D16" w:rsidP="00216D16">
            <w:pPr>
              <w:autoSpaceDE w:val="0"/>
              <w:autoSpaceDN w:val="0"/>
              <w:adjustRightInd w:val="0"/>
              <w:spacing w:line="320" w:lineRule="atLeast"/>
              <w:ind w:left="60" w:right="60"/>
              <w:jc w:val="left"/>
              <w:rPr>
                <w:rFonts w:ascii="Arial" w:hAnsi="Arial" w:cs="Arial"/>
                <w:color w:val="000000"/>
                <w:kern w:val="0"/>
                <w:sz w:val="18"/>
                <w:szCs w:val="18"/>
              </w:rPr>
            </w:pPr>
            <w:r w:rsidRPr="00216D16">
              <w:rPr>
                <w:rFonts w:ascii="Arial" w:hAnsi="Arial" w:cs="Arial"/>
                <w:color w:val="000000"/>
                <w:kern w:val="0"/>
                <w:sz w:val="18"/>
                <w:szCs w:val="18"/>
              </w:rPr>
              <w:t>No</w:t>
            </w:r>
          </w:p>
        </w:tc>
        <w:tc>
          <w:tcPr>
            <w:tcW w:w="1168" w:type="dxa"/>
            <w:tcBorders>
              <w:top w:val="single" w:sz="16" w:space="0" w:color="000000"/>
              <w:left w:val="single" w:sz="16" w:space="0" w:color="000000"/>
              <w:bottom w:val="nil"/>
            </w:tcBorders>
            <w:shd w:val="clear" w:color="auto" w:fill="FFFFFF"/>
            <w:vAlign w:val="center"/>
          </w:tcPr>
          <w:p w14:paraId="76EF4F77" w14:textId="77777777" w:rsidR="00216D16" w:rsidRPr="00216D16" w:rsidRDefault="00216D16" w:rsidP="00216D16">
            <w:pPr>
              <w:autoSpaceDE w:val="0"/>
              <w:autoSpaceDN w:val="0"/>
              <w:adjustRightInd w:val="0"/>
              <w:spacing w:line="320" w:lineRule="atLeast"/>
              <w:ind w:left="60" w:right="60"/>
              <w:jc w:val="right"/>
              <w:rPr>
                <w:rFonts w:ascii="Arial" w:hAnsi="Arial" w:cs="Arial"/>
                <w:color w:val="000000"/>
                <w:kern w:val="0"/>
                <w:sz w:val="18"/>
                <w:szCs w:val="18"/>
              </w:rPr>
            </w:pPr>
            <w:r w:rsidRPr="00216D16">
              <w:rPr>
                <w:rFonts w:ascii="Arial" w:hAnsi="Arial" w:cs="Arial"/>
                <w:color w:val="000000"/>
                <w:kern w:val="0"/>
                <w:sz w:val="18"/>
                <w:szCs w:val="18"/>
              </w:rPr>
              <w:t>1</w:t>
            </w:r>
          </w:p>
        </w:tc>
        <w:tc>
          <w:tcPr>
            <w:tcW w:w="1029" w:type="dxa"/>
            <w:tcBorders>
              <w:top w:val="single" w:sz="16" w:space="0" w:color="000000"/>
              <w:bottom w:val="nil"/>
            </w:tcBorders>
            <w:shd w:val="clear" w:color="auto" w:fill="FFFFFF"/>
            <w:vAlign w:val="center"/>
          </w:tcPr>
          <w:p w14:paraId="55C87A58" w14:textId="77777777" w:rsidR="00216D16" w:rsidRPr="00216D16" w:rsidRDefault="00216D16" w:rsidP="00216D16">
            <w:pPr>
              <w:autoSpaceDE w:val="0"/>
              <w:autoSpaceDN w:val="0"/>
              <w:adjustRightInd w:val="0"/>
              <w:spacing w:line="320" w:lineRule="atLeast"/>
              <w:ind w:left="60" w:right="60"/>
              <w:jc w:val="right"/>
              <w:rPr>
                <w:rFonts w:ascii="Arial" w:hAnsi="Arial" w:cs="Arial"/>
                <w:color w:val="000000"/>
                <w:kern w:val="0"/>
                <w:sz w:val="18"/>
                <w:szCs w:val="18"/>
              </w:rPr>
            </w:pPr>
            <w:r w:rsidRPr="00216D16">
              <w:rPr>
                <w:rFonts w:ascii="Arial" w:hAnsi="Arial" w:cs="Arial"/>
                <w:color w:val="000000"/>
                <w:kern w:val="0"/>
                <w:sz w:val="18"/>
                <w:szCs w:val="18"/>
              </w:rPr>
              <w:t>1.0</w:t>
            </w:r>
          </w:p>
        </w:tc>
        <w:tc>
          <w:tcPr>
            <w:tcW w:w="1398" w:type="dxa"/>
            <w:tcBorders>
              <w:top w:val="single" w:sz="16" w:space="0" w:color="000000"/>
              <w:bottom w:val="nil"/>
            </w:tcBorders>
            <w:shd w:val="clear" w:color="auto" w:fill="FFFFFF"/>
            <w:vAlign w:val="center"/>
          </w:tcPr>
          <w:p w14:paraId="070A7463" w14:textId="77777777" w:rsidR="00216D16" w:rsidRPr="00216D16" w:rsidRDefault="00216D16" w:rsidP="00216D16">
            <w:pPr>
              <w:autoSpaceDE w:val="0"/>
              <w:autoSpaceDN w:val="0"/>
              <w:adjustRightInd w:val="0"/>
              <w:spacing w:line="320" w:lineRule="atLeast"/>
              <w:ind w:left="60" w:right="60"/>
              <w:jc w:val="right"/>
              <w:rPr>
                <w:rFonts w:ascii="Arial" w:hAnsi="Arial" w:cs="Arial"/>
                <w:color w:val="000000"/>
                <w:kern w:val="0"/>
                <w:sz w:val="18"/>
                <w:szCs w:val="18"/>
              </w:rPr>
            </w:pPr>
            <w:r w:rsidRPr="00216D16">
              <w:rPr>
                <w:rFonts w:ascii="Arial" w:hAnsi="Arial" w:cs="Arial"/>
                <w:color w:val="000000"/>
                <w:kern w:val="0"/>
                <w:sz w:val="18"/>
                <w:szCs w:val="18"/>
              </w:rPr>
              <w:t>1.0</w:t>
            </w:r>
          </w:p>
        </w:tc>
        <w:tc>
          <w:tcPr>
            <w:tcW w:w="1475" w:type="dxa"/>
            <w:tcBorders>
              <w:top w:val="single" w:sz="16" w:space="0" w:color="000000"/>
              <w:bottom w:val="nil"/>
              <w:right w:val="single" w:sz="16" w:space="0" w:color="000000"/>
            </w:tcBorders>
            <w:shd w:val="clear" w:color="auto" w:fill="FFFFFF"/>
            <w:vAlign w:val="center"/>
          </w:tcPr>
          <w:p w14:paraId="371FBB74" w14:textId="77777777" w:rsidR="00216D16" w:rsidRPr="00216D16" w:rsidRDefault="00216D16" w:rsidP="00216D16">
            <w:pPr>
              <w:autoSpaceDE w:val="0"/>
              <w:autoSpaceDN w:val="0"/>
              <w:adjustRightInd w:val="0"/>
              <w:spacing w:line="320" w:lineRule="atLeast"/>
              <w:ind w:left="60" w:right="60"/>
              <w:jc w:val="right"/>
              <w:rPr>
                <w:rFonts w:ascii="Arial" w:hAnsi="Arial" w:cs="Arial"/>
                <w:color w:val="000000"/>
                <w:kern w:val="0"/>
                <w:sz w:val="18"/>
                <w:szCs w:val="18"/>
              </w:rPr>
            </w:pPr>
            <w:r w:rsidRPr="00216D16">
              <w:rPr>
                <w:rFonts w:ascii="Arial" w:hAnsi="Arial" w:cs="Arial"/>
                <w:color w:val="000000"/>
                <w:kern w:val="0"/>
                <w:sz w:val="18"/>
                <w:szCs w:val="18"/>
              </w:rPr>
              <w:t>1.0</w:t>
            </w:r>
          </w:p>
        </w:tc>
      </w:tr>
      <w:tr w:rsidR="00216D16" w:rsidRPr="00216D16" w14:paraId="1A730CB0"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A7E8127" w14:textId="77777777" w:rsidR="00216D16" w:rsidRPr="00216D16" w:rsidRDefault="00216D16" w:rsidP="00216D16">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nil"/>
              <w:right w:val="single" w:sz="16" w:space="0" w:color="000000"/>
            </w:tcBorders>
            <w:shd w:val="clear" w:color="auto" w:fill="FFFFFF"/>
          </w:tcPr>
          <w:p w14:paraId="522D7CB9" w14:textId="77777777" w:rsidR="00216D16" w:rsidRPr="00216D16" w:rsidRDefault="00216D16" w:rsidP="00216D16">
            <w:pPr>
              <w:autoSpaceDE w:val="0"/>
              <w:autoSpaceDN w:val="0"/>
              <w:adjustRightInd w:val="0"/>
              <w:spacing w:line="320" w:lineRule="atLeast"/>
              <w:ind w:left="60" w:right="60"/>
              <w:jc w:val="left"/>
              <w:rPr>
                <w:rFonts w:ascii="Arial" w:hAnsi="Arial" w:cs="Arial"/>
                <w:color w:val="000000"/>
                <w:kern w:val="0"/>
                <w:sz w:val="18"/>
                <w:szCs w:val="18"/>
              </w:rPr>
            </w:pPr>
            <w:r w:rsidRPr="00216D16">
              <w:rPr>
                <w:rFonts w:ascii="Arial" w:hAnsi="Arial" w:cs="Arial"/>
                <w:color w:val="000000"/>
                <w:kern w:val="0"/>
                <w:sz w:val="18"/>
                <w:szCs w:val="18"/>
              </w:rPr>
              <w:t>Yes</w:t>
            </w:r>
          </w:p>
        </w:tc>
        <w:tc>
          <w:tcPr>
            <w:tcW w:w="1168" w:type="dxa"/>
            <w:tcBorders>
              <w:top w:val="nil"/>
              <w:left w:val="single" w:sz="16" w:space="0" w:color="000000"/>
              <w:bottom w:val="nil"/>
            </w:tcBorders>
            <w:shd w:val="clear" w:color="auto" w:fill="FFFFFF"/>
            <w:vAlign w:val="center"/>
          </w:tcPr>
          <w:p w14:paraId="3616B0F4" w14:textId="77777777" w:rsidR="00216D16" w:rsidRPr="00216D16" w:rsidRDefault="00216D16" w:rsidP="00216D16">
            <w:pPr>
              <w:autoSpaceDE w:val="0"/>
              <w:autoSpaceDN w:val="0"/>
              <w:adjustRightInd w:val="0"/>
              <w:spacing w:line="320" w:lineRule="atLeast"/>
              <w:ind w:left="60" w:right="60"/>
              <w:jc w:val="right"/>
              <w:rPr>
                <w:rFonts w:ascii="Arial" w:hAnsi="Arial" w:cs="Arial"/>
                <w:color w:val="000000"/>
                <w:kern w:val="0"/>
                <w:sz w:val="18"/>
                <w:szCs w:val="18"/>
              </w:rPr>
            </w:pPr>
            <w:r w:rsidRPr="00216D16">
              <w:rPr>
                <w:rFonts w:ascii="Arial" w:hAnsi="Arial" w:cs="Arial"/>
                <w:color w:val="000000"/>
                <w:kern w:val="0"/>
                <w:sz w:val="18"/>
                <w:szCs w:val="18"/>
              </w:rPr>
              <w:t>99</w:t>
            </w:r>
          </w:p>
        </w:tc>
        <w:tc>
          <w:tcPr>
            <w:tcW w:w="1029" w:type="dxa"/>
            <w:tcBorders>
              <w:top w:val="nil"/>
              <w:bottom w:val="nil"/>
            </w:tcBorders>
            <w:shd w:val="clear" w:color="auto" w:fill="FFFFFF"/>
            <w:vAlign w:val="center"/>
          </w:tcPr>
          <w:p w14:paraId="1F8F6220" w14:textId="77777777" w:rsidR="00216D16" w:rsidRPr="00216D16" w:rsidRDefault="00216D16" w:rsidP="00216D16">
            <w:pPr>
              <w:autoSpaceDE w:val="0"/>
              <w:autoSpaceDN w:val="0"/>
              <w:adjustRightInd w:val="0"/>
              <w:spacing w:line="320" w:lineRule="atLeast"/>
              <w:ind w:left="60" w:right="60"/>
              <w:jc w:val="right"/>
              <w:rPr>
                <w:rFonts w:ascii="Arial" w:hAnsi="Arial" w:cs="Arial"/>
                <w:color w:val="000000"/>
                <w:kern w:val="0"/>
                <w:sz w:val="18"/>
                <w:szCs w:val="18"/>
              </w:rPr>
            </w:pPr>
            <w:r w:rsidRPr="00216D16">
              <w:rPr>
                <w:rFonts w:ascii="Arial" w:hAnsi="Arial" w:cs="Arial"/>
                <w:color w:val="000000"/>
                <w:kern w:val="0"/>
                <w:sz w:val="18"/>
                <w:szCs w:val="18"/>
              </w:rPr>
              <w:t>99.0</w:t>
            </w:r>
          </w:p>
        </w:tc>
        <w:tc>
          <w:tcPr>
            <w:tcW w:w="1398" w:type="dxa"/>
            <w:tcBorders>
              <w:top w:val="nil"/>
              <w:bottom w:val="nil"/>
            </w:tcBorders>
            <w:shd w:val="clear" w:color="auto" w:fill="FFFFFF"/>
            <w:vAlign w:val="center"/>
          </w:tcPr>
          <w:p w14:paraId="5AB4252A" w14:textId="77777777" w:rsidR="00216D16" w:rsidRPr="00216D16" w:rsidRDefault="00216D16" w:rsidP="00216D16">
            <w:pPr>
              <w:autoSpaceDE w:val="0"/>
              <w:autoSpaceDN w:val="0"/>
              <w:adjustRightInd w:val="0"/>
              <w:spacing w:line="320" w:lineRule="atLeast"/>
              <w:ind w:left="60" w:right="60"/>
              <w:jc w:val="right"/>
              <w:rPr>
                <w:rFonts w:ascii="Arial" w:hAnsi="Arial" w:cs="Arial"/>
                <w:color w:val="000000"/>
                <w:kern w:val="0"/>
                <w:sz w:val="18"/>
                <w:szCs w:val="18"/>
              </w:rPr>
            </w:pPr>
            <w:r w:rsidRPr="00216D16">
              <w:rPr>
                <w:rFonts w:ascii="Arial" w:hAnsi="Arial" w:cs="Arial"/>
                <w:color w:val="000000"/>
                <w:kern w:val="0"/>
                <w:sz w:val="18"/>
                <w:szCs w:val="18"/>
              </w:rPr>
              <w:t>99.0</w:t>
            </w:r>
          </w:p>
        </w:tc>
        <w:tc>
          <w:tcPr>
            <w:tcW w:w="1475" w:type="dxa"/>
            <w:tcBorders>
              <w:top w:val="nil"/>
              <w:bottom w:val="nil"/>
              <w:right w:val="single" w:sz="16" w:space="0" w:color="000000"/>
            </w:tcBorders>
            <w:shd w:val="clear" w:color="auto" w:fill="FFFFFF"/>
            <w:vAlign w:val="center"/>
          </w:tcPr>
          <w:p w14:paraId="4C02974C" w14:textId="77777777" w:rsidR="00216D16" w:rsidRPr="00216D16" w:rsidRDefault="00216D16" w:rsidP="00216D16">
            <w:pPr>
              <w:autoSpaceDE w:val="0"/>
              <w:autoSpaceDN w:val="0"/>
              <w:adjustRightInd w:val="0"/>
              <w:spacing w:line="320" w:lineRule="atLeast"/>
              <w:ind w:left="60" w:right="60"/>
              <w:jc w:val="right"/>
              <w:rPr>
                <w:rFonts w:ascii="Arial" w:hAnsi="Arial" w:cs="Arial"/>
                <w:color w:val="000000"/>
                <w:kern w:val="0"/>
                <w:sz w:val="18"/>
                <w:szCs w:val="18"/>
              </w:rPr>
            </w:pPr>
            <w:r w:rsidRPr="00216D16">
              <w:rPr>
                <w:rFonts w:ascii="Arial" w:hAnsi="Arial" w:cs="Arial"/>
                <w:color w:val="000000"/>
                <w:kern w:val="0"/>
                <w:sz w:val="18"/>
                <w:szCs w:val="18"/>
              </w:rPr>
              <w:t>100.0</w:t>
            </w:r>
          </w:p>
        </w:tc>
      </w:tr>
      <w:tr w:rsidR="00216D16" w:rsidRPr="00216D16" w14:paraId="291BEF1E" w14:textId="77777777">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ABA79C1" w14:textId="77777777" w:rsidR="00216D16" w:rsidRPr="00216D16" w:rsidRDefault="00216D16" w:rsidP="00216D16">
            <w:pPr>
              <w:autoSpaceDE w:val="0"/>
              <w:autoSpaceDN w:val="0"/>
              <w:adjustRightInd w:val="0"/>
              <w:spacing w:line="240" w:lineRule="auto"/>
              <w:jc w:val="left"/>
              <w:rPr>
                <w:rFonts w:ascii="Arial" w:hAnsi="Arial" w:cs="Arial"/>
                <w:color w:val="000000"/>
                <w:kern w:val="0"/>
                <w:sz w:val="18"/>
                <w:szCs w:val="18"/>
              </w:rPr>
            </w:pPr>
          </w:p>
        </w:tc>
        <w:tc>
          <w:tcPr>
            <w:tcW w:w="737" w:type="dxa"/>
            <w:tcBorders>
              <w:top w:val="nil"/>
              <w:left w:val="nil"/>
              <w:bottom w:val="single" w:sz="16" w:space="0" w:color="000000"/>
              <w:right w:val="single" w:sz="16" w:space="0" w:color="000000"/>
            </w:tcBorders>
            <w:shd w:val="clear" w:color="auto" w:fill="FFFFFF"/>
          </w:tcPr>
          <w:p w14:paraId="6EDDB555" w14:textId="77777777" w:rsidR="00216D16" w:rsidRPr="00216D16" w:rsidRDefault="00216D16" w:rsidP="00216D16">
            <w:pPr>
              <w:autoSpaceDE w:val="0"/>
              <w:autoSpaceDN w:val="0"/>
              <w:adjustRightInd w:val="0"/>
              <w:spacing w:line="320" w:lineRule="atLeast"/>
              <w:ind w:left="60" w:right="60"/>
              <w:jc w:val="left"/>
              <w:rPr>
                <w:rFonts w:ascii="Arial" w:hAnsi="Arial" w:cs="Arial"/>
                <w:color w:val="000000"/>
                <w:kern w:val="0"/>
                <w:sz w:val="18"/>
                <w:szCs w:val="18"/>
              </w:rPr>
            </w:pPr>
            <w:r w:rsidRPr="00216D16">
              <w:rPr>
                <w:rFonts w:ascii="Arial" w:hAnsi="Arial" w:cs="Arial"/>
                <w:color w:val="000000"/>
                <w:kern w:val="0"/>
                <w:sz w:val="18"/>
                <w:szCs w:val="18"/>
              </w:rPr>
              <w:t>Total</w:t>
            </w:r>
          </w:p>
        </w:tc>
        <w:tc>
          <w:tcPr>
            <w:tcW w:w="1168" w:type="dxa"/>
            <w:tcBorders>
              <w:top w:val="nil"/>
              <w:left w:val="single" w:sz="16" w:space="0" w:color="000000"/>
              <w:bottom w:val="single" w:sz="16" w:space="0" w:color="000000"/>
            </w:tcBorders>
            <w:shd w:val="clear" w:color="auto" w:fill="FFFFFF"/>
            <w:vAlign w:val="center"/>
          </w:tcPr>
          <w:p w14:paraId="4A825E03" w14:textId="77777777" w:rsidR="00216D16" w:rsidRPr="00216D16" w:rsidRDefault="00216D16" w:rsidP="00216D16">
            <w:pPr>
              <w:autoSpaceDE w:val="0"/>
              <w:autoSpaceDN w:val="0"/>
              <w:adjustRightInd w:val="0"/>
              <w:spacing w:line="320" w:lineRule="atLeast"/>
              <w:ind w:left="60" w:right="60"/>
              <w:jc w:val="right"/>
              <w:rPr>
                <w:rFonts w:ascii="Arial" w:hAnsi="Arial" w:cs="Arial"/>
                <w:color w:val="000000"/>
                <w:kern w:val="0"/>
                <w:sz w:val="18"/>
                <w:szCs w:val="18"/>
              </w:rPr>
            </w:pPr>
            <w:r w:rsidRPr="00216D16">
              <w:rPr>
                <w:rFonts w:ascii="Arial" w:hAnsi="Arial" w:cs="Arial"/>
                <w:color w:val="000000"/>
                <w:kern w:val="0"/>
                <w:sz w:val="18"/>
                <w:szCs w:val="18"/>
              </w:rPr>
              <w:t>100</w:t>
            </w:r>
          </w:p>
        </w:tc>
        <w:tc>
          <w:tcPr>
            <w:tcW w:w="1029" w:type="dxa"/>
            <w:tcBorders>
              <w:top w:val="nil"/>
              <w:bottom w:val="single" w:sz="16" w:space="0" w:color="000000"/>
            </w:tcBorders>
            <w:shd w:val="clear" w:color="auto" w:fill="FFFFFF"/>
            <w:vAlign w:val="center"/>
          </w:tcPr>
          <w:p w14:paraId="065D74BB" w14:textId="77777777" w:rsidR="00216D16" w:rsidRPr="00216D16" w:rsidRDefault="00216D16" w:rsidP="00216D16">
            <w:pPr>
              <w:autoSpaceDE w:val="0"/>
              <w:autoSpaceDN w:val="0"/>
              <w:adjustRightInd w:val="0"/>
              <w:spacing w:line="320" w:lineRule="atLeast"/>
              <w:ind w:left="60" w:right="60"/>
              <w:jc w:val="right"/>
              <w:rPr>
                <w:rFonts w:ascii="Arial" w:hAnsi="Arial" w:cs="Arial"/>
                <w:color w:val="000000"/>
                <w:kern w:val="0"/>
                <w:sz w:val="18"/>
                <w:szCs w:val="18"/>
              </w:rPr>
            </w:pPr>
            <w:r w:rsidRPr="00216D16">
              <w:rPr>
                <w:rFonts w:ascii="Arial" w:hAnsi="Arial" w:cs="Arial"/>
                <w:color w:val="000000"/>
                <w:kern w:val="0"/>
                <w:sz w:val="18"/>
                <w:szCs w:val="18"/>
              </w:rPr>
              <w:t>100.0</w:t>
            </w:r>
          </w:p>
        </w:tc>
        <w:tc>
          <w:tcPr>
            <w:tcW w:w="1398" w:type="dxa"/>
            <w:tcBorders>
              <w:top w:val="nil"/>
              <w:bottom w:val="single" w:sz="16" w:space="0" w:color="000000"/>
            </w:tcBorders>
            <w:shd w:val="clear" w:color="auto" w:fill="FFFFFF"/>
            <w:vAlign w:val="center"/>
          </w:tcPr>
          <w:p w14:paraId="4A53E307" w14:textId="77777777" w:rsidR="00216D16" w:rsidRPr="00216D16" w:rsidRDefault="00216D16" w:rsidP="00216D16">
            <w:pPr>
              <w:autoSpaceDE w:val="0"/>
              <w:autoSpaceDN w:val="0"/>
              <w:adjustRightInd w:val="0"/>
              <w:spacing w:line="320" w:lineRule="atLeast"/>
              <w:ind w:left="60" w:right="60"/>
              <w:jc w:val="right"/>
              <w:rPr>
                <w:rFonts w:ascii="Arial" w:hAnsi="Arial" w:cs="Arial"/>
                <w:color w:val="000000"/>
                <w:kern w:val="0"/>
                <w:sz w:val="18"/>
                <w:szCs w:val="18"/>
              </w:rPr>
            </w:pPr>
            <w:r w:rsidRPr="00216D16">
              <w:rPr>
                <w:rFonts w:ascii="Arial" w:hAnsi="Arial" w:cs="Arial"/>
                <w:color w:val="000000"/>
                <w:kern w:val="0"/>
                <w:sz w:val="18"/>
                <w:szCs w:val="18"/>
              </w:rPr>
              <w:t>100.0</w:t>
            </w:r>
          </w:p>
        </w:tc>
        <w:tc>
          <w:tcPr>
            <w:tcW w:w="1475" w:type="dxa"/>
            <w:tcBorders>
              <w:top w:val="nil"/>
              <w:bottom w:val="single" w:sz="16" w:space="0" w:color="000000"/>
              <w:right w:val="single" w:sz="16" w:space="0" w:color="000000"/>
            </w:tcBorders>
            <w:shd w:val="clear" w:color="auto" w:fill="FFFFFF"/>
            <w:vAlign w:val="center"/>
          </w:tcPr>
          <w:p w14:paraId="0F396D1F" w14:textId="77777777" w:rsidR="00216D16" w:rsidRPr="00216D16" w:rsidRDefault="00216D16" w:rsidP="00216D16">
            <w:pPr>
              <w:autoSpaceDE w:val="0"/>
              <w:autoSpaceDN w:val="0"/>
              <w:adjustRightInd w:val="0"/>
              <w:spacing w:line="240" w:lineRule="auto"/>
              <w:jc w:val="left"/>
              <w:rPr>
                <w:rFonts w:ascii="Times New Roman" w:hAnsi="Times New Roman" w:cs="Times New Roman"/>
                <w:kern w:val="0"/>
                <w:sz w:val="24"/>
                <w:szCs w:val="24"/>
              </w:rPr>
            </w:pPr>
          </w:p>
        </w:tc>
      </w:tr>
    </w:tbl>
    <w:p w14:paraId="2FB115DC" w14:textId="77777777" w:rsidR="00216D16" w:rsidRPr="00216D16" w:rsidRDefault="00216D16" w:rsidP="00216D16">
      <w:pPr>
        <w:autoSpaceDE w:val="0"/>
        <w:autoSpaceDN w:val="0"/>
        <w:adjustRightInd w:val="0"/>
        <w:spacing w:line="400" w:lineRule="atLeast"/>
        <w:jc w:val="left"/>
        <w:rPr>
          <w:rFonts w:ascii="Times New Roman" w:hAnsi="Times New Roman" w:cs="Times New Roman"/>
          <w:kern w:val="0"/>
          <w:sz w:val="24"/>
          <w:szCs w:val="24"/>
        </w:rPr>
      </w:pPr>
    </w:p>
    <w:p w14:paraId="514DC94F" w14:textId="77777777" w:rsidR="00074DF0" w:rsidRPr="00074DF0" w:rsidRDefault="00074DF0" w:rsidP="00361EBF">
      <w:pPr>
        <w:autoSpaceDE w:val="0"/>
        <w:autoSpaceDN w:val="0"/>
        <w:adjustRightInd w:val="0"/>
        <w:jc w:val="left"/>
        <w:rPr>
          <w:rFonts w:ascii="Times New Roman" w:hAnsi="Times New Roman" w:cs="Times New Roman"/>
          <w:kern w:val="0"/>
          <w:sz w:val="24"/>
          <w:szCs w:val="24"/>
        </w:rPr>
      </w:pPr>
      <w:r w:rsidRPr="00074DF0">
        <w:rPr>
          <w:rFonts w:ascii="Times New Roman" w:hAnsi="Times New Roman" w:cs="Times New Roman"/>
          <w:kern w:val="0"/>
          <w:sz w:val="24"/>
          <w:szCs w:val="24"/>
        </w:rPr>
        <w:t>The table presents findings from a quantitative study that asked participants whether they had received formal training on gender-sensitive practices in their social work education or career. These practices include topics such as addressing biases, using inclusive language, and applying intersectional approaches. Out of 100 participants, 99 (99%) reported that they have received this kind of training. Only 1 person (1%) answered “No,” indicating they had not received formal training on gender-sensitive topics. This result shows that almost all respondents have been exposed to educational content that helps them understand and respond to gender issues in their professional roles.</w:t>
      </w:r>
    </w:p>
    <w:p w14:paraId="3030C067" w14:textId="77777777" w:rsidR="00074DF0" w:rsidRPr="00074DF0" w:rsidRDefault="00074DF0" w:rsidP="00361EBF">
      <w:pPr>
        <w:autoSpaceDE w:val="0"/>
        <w:autoSpaceDN w:val="0"/>
        <w:adjustRightInd w:val="0"/>
        <w:jc w:val="left"/>
        <w:rPr>
          <w:rFonts w:ascii="Times New Roman" w:hAnsi="Times New Roman" w:cs="Times New Roman"/>
          <w:kern w:val="0"/>
          <w:sz w:val="24"/>
          <w:szCs w:val="24"/>
        </w:rPr>
      </w:pPr>
    </w:p>
    <w:p w14:paraId="59520E0D" w14:textId="77777777" w:rsidR="00074DF0" w:rsidRPr="00074DF0" w:rsidRDefault="00074DF0" w:rsidP="00361EBF">
      <w:pPr>
        <w:autoSpaceDE w:val="0"/>
        <w:autoSpaceDN w:val="0"/>
        <w:adjustRightInd w:val="0"/>
        <w:jc w:val="left"/>
        <w:rPr>
          <w:rFonts w:ascii="Times New Roman" w:hAnsi="Times New Roman" w:cs="Times New Roman"/>
          <w:kern w:val="0"/>
          <w:sz w:val="24"/>
          <w:szCs w:val="24"/>
        </w:rPr>
      </w:pPr>
      <w:r w:rsidRPr="00074DF0">
        <w:rPr>
          <w:rFonts w:ascii="Times New Roman" w:hAnsi="Times New Roman" w:cs="Times New Roman"/>
          <w:kern w:val="0"/>
          <w:sz w:val="24"/>
          <w:szCs w:val="24"/>
        </w:rPr>
        <w:t>This finding is very important in the context of social work and gender-based violence (GBV), as training on gender sensitivity is a key part of providing inclusive and effective services. Social workers and other professionals dealing with GBV cases must be equipped with the knowledge and skills to address different forms of gender-based discrimination and bias. The high percentage of trained participants shows that gender sensitivity is being taken seriously in educational and career development programs. It also suggests that institutions involved in social work training are making efforts to ensure that their students and staff understand how to work with people from diverse gender backgrounds in respectful and informed ways.</w:t>
      </w:r>
    </w:p>
    <w:p w14:paraId="3BF1F25F" w14:textId="77777777" w:rsidR="00074DF0" w:rsidRPr="00074DF0" w:rsidRDefault="00074DF0" w:rsidP="00361EBF">
      <w:pPr>
        <w:autoSpaceDE w:val="0"/>
        <w:autoSpaceDN w:val="0"/>
        <w:adjustRightInd w:val="0"/>
        <w:jc w:val="left"/>
        <w:rPr>
          <w:rFonts w:ascii="Times New Roman" w:hAnsi="Times New Roman" w:cs="Times New Roman"/>
          <w:kern w:val="0"/>
          <w:sz w:val="24"/>
          <w:szCs w:val="24"/>
        </w:rPr>
      </w:pPr>
    </w:p>
    <w:p w14:paraId="4BEC04B2" w14:textId="77777777" w:rsidR="00074DF0" w:rsidRPr="00074DF0" w:rsidRDefault="00074DF0" w:rsidP="00361EBF">
      <w:pPr>
        <w:autoSpaceDE w:val="0"/>
        <w:autoSpaceDN w:val="0"/>
        <w:adjustRightInd w:val="0"/>
        <w:jc w:val="left"/>
        <w:rPr>
          <w:rFonts w:ascii="Times New Roman" w:hAnsi="Times New Roman" w:cs="Times New Roman"/>
          <w:kern w:val="0"/>
          <w:sz w:val="24"/>
          <w:szCs w:val="24"/>
        </w:rPr>
      </w:pPr>
      <w:r w:rsidRPr="00074DF0">
        <w:rPr>
          <w:rFonts w:ascii="Times New Roman" w:hAnsi="Times New Roman" w:cs="Times New Roman"/>
          <w:kern w:val="0"/>
          <w:sz w:val="24"/>
          <w:szCs w:val="24"/>
        </w:rPr>
        <w:t xml:space="preserve">In conclusion, this data suggests strong progress in building gender-sensitive knowledge among social work professionals. The fact that 99% of respondents have received such training indicates that the field is moving in the right direction. However, even though only 1% have not received this training, it is still important to ensure that everyone working in this area has access to these learning opportunities. Continuous training and updated content are necessary to keep professionals informed </w:t>
      </w:r>
      <w:r w:rsidRPr="00074DF0">
        <w:rPr>
          <w:rFonts w:ascii="Times New Roman" w:hAnsi="Times New Roman" w:cs="Times New Roman"/>
          <w:kern w:val="0"/>
          <w:sz w:val="24"/>
          <w:szCs w:val="24"/>
        </w:rPr>
        <w:lastRenderedPageBreak/>
        <w:t>and prepared to meet the evolving needs of the communities they serve. This will help create safer, more inclusive environments for all clients, especially those affected by GBV or gender-based discrimination.</w:t>
      </w:r>
    </w:p>
    <w:p w14:paraId="5255A321" w14:textId="77777777" w:rsidR="00F04CD0" w:rsidRDefault="00F04CD0" w:rsidP="00361EBF">
      <w:pPr>
        <w:autoSpaceDE w:val="0"/>
        <w:autoSpaceDN w:val="0"/>
        <w:adjustRightInd w:val="0"/>
        <w:jc w:val="left"/>
        <w:rPr>
          <w:rFonts w:ascii="Times New Roman" w:hAnsi="Times New Roman" w:cs="Times New Roman"/>
          <w:kern w:val="0"/>
          <w:sz w:val="24"/>
          <w:szCs w:val="24"/>
        </w:rPr>
      </w:pPr>
    </w:p>
    <w:p w14:paraId="7A8FEA97" w14:textId="77777777" w:rsidR="00AC5BA5" w:rsidRDefault="00AC5BA5" w:rsidP="00F04CD0">
      <w:pPr>
        <w:autoSpaceDE w:val="0"/>
        <w:autoSpaceDN w:val="0"/>
        <w:adjustRightInd w:val="0"/>
        <w:spacing w:line="240" w:lineRule="auto"/>
        <w:jc w:val="left"/>
        <w:rPr>
          <w:rFonts w:ascii="Times New Roman" w:hAnsi="Times New Roman" w:cs="Times New Roman"/>
          <w:kern w:val="0"/>
          <w:sz w:val="24"/>
          <w:szCs w:val="24"/>
        </w:rPr>
      </w:pPr>
    </w:p>
    <w:p w14:paraId="52BB52B5" w14:textId="77777777" w:rsidR="00AC5BA5" w:rsidRDefault="00AC5BA5" w:rsidP="00F04CD0">
      <w:pPr>
        <w:autoSpaceDE w:val="0"/>
        <w:autoSpaceDN w:val="0"/>
        <w:adjustRightInd w:val="0"/>
        <w:spacing w:line="240" w:lineRule="auto"/>
        <w:jc w:val="left"/>
        <w:rPr>
          <w:rFonts w:ascii="Times New Roman" w:hAnsi="Times New Roman" w:cs="Times New Roman"/>
          <w:kern w:val="0"/>
          <w:sz w:val="24"/>
          <w:szCs w:val="24"/>
        </w:rPr>
      </w:pPr>
    </w:p>
    <w:p w14:paraId="58C612A9" w14:textId="77777777" w:rsidR="00AC5BA5" w:rsidRPr="00F04CD0" w:rsidRDefault="00AC5BA5" w:rsidP="00F04CD0">
      <w:pPr>
        <w:autoSpaceDE w:val="0"/>
        <w:autoSpaceDN w:val="0"/>
        <w:adjustRightInd w:val="0"/>
        <w:spacing w:line="240" w:lineRule="auto"/>
        <w:jc w:val="left"/>
        <w:rPr>
          <w:rFonts w:ascii="Times New Roman" w:hAnsi="Times New Roman" w:cs="Times New Roman"/>
          <w:kern w:val="0"/>
          <w:sz w:val="24"/>
          <w:szCs w:val="24"/>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F04CD0" w:rsidRPr="00F04CD0" w14:paraId="13D74878" w14:textId="77777777">
        <w:trPr>
          <w:cantSplit/>
        </w:trPr>
        <w:tc>
          <w:tcPr>
            <w:tcW w:w="6544" w:type="dxa"/>
            <w:gridSpan w:val="6"/>
            <w:tcBorders>
              <w:top w:val="nil"/>
              <w:left w:val="nil"/>
              <w:bottom w:val="nil"/>
              <w:right w:val="nil"/>
            </w:tcBorders>
            <w:shd w:val="clear" w:color="auto" w:fill="FFFFFF"/>
            <w:vAlign w:val="center"/>
          </w:tcPr>
          <w:p w14:paraId="3A601A21" w14:textId="77777777" w:rsidR="00F04CD0" w:rsidRPr="00F04CD0" w:rsidRDefault="00F04CD0" w:rsidP="00F04CD0">
            <w:pPr>
              <w:autoSpaceDE w:val="0"/>
              <w:autoSpaceDN w:val="0"/>
              <w:adjustRightInd w:val="0"/>
              <w:spacing w:line="320" w:lineRule="atLeast"/>
              <w:ind w:left="60" w:right="60"/>
              <w:jc w:val="center"/>
              <w:rPr>
                <w:rFonts w:ascii="Arial" w:hAnsi="Arial" w:cs="Arial"/>
                <w:color w:val="000000"/>
                <w:kern w:val="0"/>
                <w:sz w:val="18"/>
                <w:szCs w:val="18"/>
              </w:rPr>
            </w:pPr>
            <w:r w:rsidRPr="00F04CD0">
              <w:rPr>
                <w:rFonts w:ascii="Arial" w:hAnsi="Arial" w:cs="Arial"/>
                <w:b/>
                <w:bCs/>
                <w:color w:val="000000"/>
                <w:kern w:val="0"/>
                <w:sz w:val="18"/>
                <w:szCs w:val="18"/>
              </w:rPr>
              <w:t>19. Do you feel adequately prepared to address gender-related challenges (e.g., discrimination, LGBTQ+ issues, cultural barriers) in your work?</w:t>
            </w:r>
          </w:p>
        </w:tc>
      </w:tr>
      <w:tr w:rsidR="00F04CD0" w:rsidRPr="00F04CD0" w14:paraId="52BAE7E1" w14:textId="77777777">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4503ED53" w14:textId="77777777" w:rsidR="00F04CD0" w:rsidRPr="00F04CD0" w:rsidRDefault="00F04CD0" w:rsidP="00F04CD0">
            <w:pPr>
              <w:autoSpaceDE w:val="0"/>
              <w:autoSpaceDN w:val="0"/>
              <w:adjustRightInd w:val="0"/>
              <w:spacing w:line="240" w:lineRule="auto"/>
              <w:jc w:val="left"/>
              <w:rPr>
                <w:rFonts w:ascii="Times New Roman" w:hAnsi="Times New Roman" w:cs="Times New Roman"/>
                <w:kern w:val="0"/>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14:paraId="42B458CD" w14:textId="77777777" w:rsidR="00F04CD0" w:rsidRPr="00F04CD0" w:rsidRDefault="00F04CD0" w:rsidP="00F04CD0">
            <w:pPr>
              <w:autoSpaceDE w:val="0"/>
              <w:autoSpaceDN w:val="0"/>
              <w:adjustRightInd w:val="0"/>
              <w:spacing w:line="320" w:lineRule="atLeast"/>
              <w:ind w:left="60" w:right="60"/>
              <w:jc w:val="center"/>
              <w:rPr>
                <w:rFonts w:ascii="Arial" w:hAnsi="Arial" w:cs="Arial"/>
                <w:color w:val="000000"/>
                <w:kern w:val="0"/>
                <w:sz w:val="18"/>
                <w:szCs w:val="18"/>
              </w:rPr>
            </w:pPr>
            <w:r w:rsidRPr="00F04CD0">
              <w:rPr>
                <w:rFonts w:ascii="Arial" w:hAnsi="Arial" w:cs="Arial"/>
                <w:color w:val="000000"/>
                <w:kern w:val="0"/>
                <w:sz w:val="18"/>
                <w:szCs w:val="18"/>
              </w:rPr>
              <w:t>Frequency</w:t>
            </w:r>
          </w:p>
        </w:tc>
        <w:tc>
          <w:tcPr>
            <w:tcW w:w="1029" w:type="dxa"/>
            <w:tcBorders>
              <w:top w:val="single" w:sz="16" w:space="0" w:color="000000"/>
              <w:bottom w:val="single" w:sz="16" w:space="0" w:color="000000"/>
            </w:tcBorders>
            <w:shd w:val="clear" w:color="auto" w:fill="FFFFFF"/>
            <w:vAlign w:val="bottom"/>
          </w:tcPr>
          <w:p w14:paraId="1BBF8D89" w14:textId="77777777" w:rsidR="00F04CD0" w:rsidRPr="00F04CD0" w:rsidRDefault="00F04CD0" w:rsidP="00F04CD0">
            <w:pPr>
              <w:autoSpaceDE w:val="0"/>
              <w:autoSpaceDN w:val="0"/>
              <w:adjustRightInd w:val="0"/>
              <w:spacing w:line="320" w:lineRule="atLeast"/>
              <w:ind w:left="60" w:right="60"/>
              <w:jc w:val="center"/>
              <w:rPr>
                <w:rFonts w:ascii="Arial" w:hAnsi="Arial" w:cs="Arial"/>
                <w:color w:val="000000"/>
                <w:kern w:val="0"/>
                <w:sz w:val="18"/>
                <w:szCs w:val="18"/>
              </w:rPr>
            </w:pPr>
            <w:r w:rsidRPr="00F04CD0">
              <w:rPr>
                <w:rFonts w:ascii="Arial" w:hAnsi="Arial" w:cs="Arial"/>
                <w:color w:val="000000"/>
                <w:kern w:val="0"/>
                <w:sz w:val="18"/>
                <w:szCs w:val="18"/>
              </w:rPr>
              <w:t>Percent</w:t>
            </w:r>
          </w:p>
        </w:tc>
        <w:tc>
          <w:tcPr>
            <w:tcW w:w="1398" w:type="dxa"/>
            <w:tcBorders>
              <w:top w:val="single" w:sz="16" w:space="0" w:color="000000"/>
              <w:bottom w:val="single" w:sz="16" w:space="0" w:color="000000"/>
            </w:tcBorders>
            <w:shd w:val="clear" w:color="auto" w:fill="FFFFFF"/>
            <w:vAlign w:val="bottom"/>
          </w:tcPr>
          <w:p w14:paraId="1EA58B2D" w14:textId="77777777" w:rsidR="00F04CD0" w:rsidRPr="00F04CD0" w:rsidRDefault="00F04CD0" w:rsidP="00F04CD0">
            <w:pPr>
              <w:autoSpaceDE w:val="0"/>
              <w:autoSpaceDN w:val="0"/>
              <w:adjustRightInd w:val="0"/>
              <w:spacing w:line="320" w:lineRule="atLeast"/>
              <w:ind w:left="60" w:right="60"/>
              <w:jc w:val="center"/>
              <w:rPr>
                <w:rFonts w:ascii="Arial" w:hAnsi="Arial" w:cs="Arial"/>
                <w:color w:val="000000"/>
                <w:kern w:val="0"/>
                <w:sz w:val="18"/>
                <w:szCs w:val="18"/>
              </w:rPr>
            </w:pPr>
            <w:r w:rsidRPr="00F04CD0">
              <w:rPr>
                <w:rFonts w:ascii="Arial" w:hAnsi="Arial" w:cs="Arial"/>
                <w:color w:val="000000"/>
                <w:kern w:val="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4FD8FEFC" w14:textId="77777777" w:rsidR="00F04CD0" w:rsidRPr="00F04CD0" w:rsidRDefault="00F04CD0" w:rsidP="00F04CD0">
            <w:pPr>
              <w:autoSpaceDE w:val="0"/>
              <w:autoSpaceDN w:val="0"/>
              <w:adjustRightInd w:val="0"/>
              <w:spacing w:line="320" w:lineRule="atLeast"/>
              <w:ind w:left="60" w:right="60"/>
              <w:jc w:val="center"/>
              <w:rPr>
                <w:rFonts w:ascii="Arial" w:hAnsi="Arial" w:cs="Arial"/>
                <w:color w:val="000000"/>
                <w:kern w:val="0"/>
                <w:sz w:val="18"/>
                <w:szCs w:val="18"/>
              </w:rPr>
            </w:pPr>
            <w:r w:rsidRPr="00F04CD0">
              <w:rPr>
                <w:rFonts w:ascii="Arial" w:hAnsi="Arial" w:cs="Arial"/>
                <w:color w:val="000000"/>
                <w:kern w:val="0"/>
                <w:sz w:val="18"/>
                <w:szCs w:val="18"/>
              </w:rPr>
              <w:t>Cumulative Percent</w:t>
            </w:r>
          </w:p>
        </w:tc>
      </w:tr>
      <w:tr w:rsidR="00F04CD0" w:rsidRPr="00F04CD0" w14:paraId="739CE8E9" w14:textId="77777777">
        <w:trPr>
          <w:cantSplit/>
        </w:trPr>
        <w:tc>
          <w:tcPr>
            <w:tcW w:w="737" w:type="dxa"/>
            <w:tcBorders>
              <w:top w:val="single" w:sz="16" w:space="0" w:color="000000"/>
              <w:left w:val="single" w:sz="16" w:space="0" w:color="000000"/>
              <w:bottom w:val="single" w:sz="16" w:space="0" w:color="000000"/>
              <w:right w:val="nil"/>
            </w:tcBorders>
            <w:shd w:val="clear" w:color="auto" w:fill="FFFFFF"/>
          </w:tcPr>
          <w:p w14:paraId="675E96E0" w14:textId="77777777" w:rsidR="00F04CD0" w:rsidRPr="00F04CD0" w:rsidRDefault="00F04CD0" w:rsidP="00F04CD0">
            <w:pPr>
              <w:autoSpaceDE w:val="0"/>
              <w:autoSpaceDN w:val="0"/>
              <w:adjustRightInd w:val="0"/>
              <w:spacing w:line="320" w:lineRule="atLeast"/>
              <w:ind w:left="60" w:right="60"/>
              <w:jc w:val="left"/>
              <w:rPr>
                <w:rFonts w:ascii="Arial" w:hAnsi="Arial" w:cs="Arial"/>
                <w:color w:val="000000"/>
                <w:kern w:val="0"/>
                <w:sz w:val="18"/>
                <w:szCs w:val="18"/>
              </w:rPr>
            </w:pPr>
            <w:r w:rsidRPr="00F04CD0">
              <w:rPr>
                <w:rFonts w:ascii="Arial" w:hAnsi="Arial" w:cs="Arial"/>
                <w:color w:val="000000"/>
                <w:kern w:val="0"/>
                <w:sz w:val="18"/>
                <w:szCs w:val="18"/>
              </w:rPr>
              <w:t>Valid</w:t>
            </w:r>
          </w:p>
        </w:tc>
        <w:tc>
          <w:tcPr>
            <w:tcW w:w="737" w:type="dxa"/>
            <w:tcBorders>
              <w:top w:val="single" w:sz="16" w:space="0" w:color="000000"/>
              <w:left w:val="nil"/>
              <w:bottom w:val="single" w:sz="16" w:space="0" w:color="000000"/>
              <w:right w:val="single" w:sz="16" w:space="0" w:color="000000"/>
            </w:tcBorders>
            <w:shd w:val="clear" w:color="auto" w:fill="FFFFFF"/>
          </w:tcPr>
          <w:p w14:paraId="32CEFE0C" w14:textId="77777777" w:rsidR="00F04CD0" w:rsidRPr="00F04CD0" w:rsidRDefault="00F04CD0" w:rsidP="00F04CD0">
            <w:pPr>
              <w:autoSpaceDE w:val="0"/>
              <w:autoSpaceDN w:val="0"/>
              <w:adjustRightInd w:val="0"/>
              <w:spacing w:line="320" w:lineRule="atLeast"/>
              <w:ind w:left="60" w:right="60"/>
              <w:jc w:val="left"/>
              <w:rPr>
                <w:rFonts w:ascii="Arial" w:hAnsi="Arial" w:cs="Arial"/>
                <w:color w:val="000000"/>
                <w:kern w:val="0"/>
                <w:sz w:val="18"/>
                <w:szCs w:val="18"/>
              </w:rPr>
            </w:pPr>
            <w:r w:rsidRPr="00F04CD0">
              <w:rPr>
                <w:rFonts w:ascii="Arial" w:hAnsi="Arial" w:cs="Arial"/>
                <w:color w:val="000000"/>
                <w:kern w:val="0"/>
                <w:sz w:val="18"/>
                <w:szCs w:val="18"/>
              </w:rPr>
              <w:t>Yes</w:t>
            </w:r>
          </w:p>
        </w:tc>
        <w:tc>
          <w:tcPr>
            <w:tcW w:w="1168" w:type="dxa"/>
            <w:tcBorders>
              <w:top w:val="single" w:sz="16" w:space="0" w:color="000000"/>
              <w:left w:val="single" w:sz="16" w:space="0" w:color="000000"/>
              <w:bottom w:val="single" w:sz="16" w:space="0" w:color="000000"/>
            </w:tcBorders>
            <w:shd w:val="clear" w:color="auto" w:fill="FFFFFF"/>
            <w:vAlign w:val="center"/>
          </w:tcPr>
          <w:p w14:paraId="49F4D0B3" w14:textId="77777777" w:rsidR="00F04CD0" w:rsidRPr="00F04CD0" w:rsidRDefault="00F04CD0" w:rsidP="00F04CD0">
            <w:pPr>
              <w:autoSpaceDE w:val="0"/>
              <w:autoSpaceDN w:val="0"/>
              <w:adjustRightInd w:val="0"/>
              <w:spacing w:line="320" w:lineRule="atLeast"/>
              <w:ind w:left="60" w:right="60"/>
              <w:jc w:val="right"/>
              <w:rPr>
                <w:rFonts w:ascii="Arial" w:hAnsi="Arial" w:cs="Arial"/>
                <w:color w:val="000000"/>
                <w:kern w:val="0"/>
                <w:sz w:val="18"/>
                <w:szCs w:val="18"/>
              </w:rPr>
            </w:pPr>
            <w:r w:rsidRPr="00F04CD0">
              <w:rPr>
                <w:rFonts w:ascii="Arial" w:hAnsi="Arial" w:cs="Arial"/>
                <w:color w:val="000000"/>
                <w:kern w:val="0"/>
                <w:sz w:val="18"/>
                <w:szCs w:val="18"/>
              </w:rPr>
              <w:t>100</w:t>
            </w:r>
          </w:p>
        </w:tc>
        <w:tc>
          <w:tcPr>
            <w:tcW w:w="1029" w:type="dxa"/>
            <w:tcBorders>
              <w:top w:val="single" w:sz="16" w:space="0" w:color="000000"/>
              <w:bottom w:val="single" w:sz="16" w:space="0" w:color="000000"/>
            </w:tcBorders>
            <w:shd w:val="clear" w:color="auto" w:fill="FFFFFF"/>
            <w:vAlign w:val="center"/>
          </w:tcPr>
          <w:p w14:paraId="4FF741A9" w14:textId="77777777" w:rsidR="00F04CD0" w:rsidRPr="00F04CD0" w:rsidRDefault="00F04CD0" w:rsidP="00F04CD0">
            <w:pPr>
              <w:autoSpaceDE w:val="0"/>
              <w:autoSpaceDN w:val="0"/>
              <w:adjustRightInd w:val="0"/>
              <w:spacing w:line="320" w:lineRule="atLeast"/>
              <w:ind w:left="60" w:right="60"/>
              <w:jc w:val="right"/>
              <w:rPr>
                <w:rFonts w:ascii="Arial" w:hAnsi="Arial" w:cs="Arial"/>
                <w:color w:val="000000"/>
                <w:kern w:val="0"/>
                <w:sz w:val="18"/>
                <w:szCs w:val="18"/>
              </w:rPr>
            </w:pPr>
            <w:r w:rsidRPr="00F04CD0">
              <w:rPr>
                <w:rFonts w:ascii="Arial" w:hAnsi="Arial" w:cs="Arial"/>
                <w:color w:val="000000"/>
                <w:kern w:val="0"/>
                <w:sz w:val="18"/>
                <w:szCs w:val="18"/>
              </w:rPr>
              <w:t>100.0</w:t>
            </w:r>
          </w:p>
        </w:tc>
        <w:tc>
          <w:tcPr>
            <w:tcW w:w="1398" w:type="dxa"/>
            <w:tcBorders>
              <w:top w:val="single" w:sz="16" w:space="0" w:color="000000"/>
              <w:bottom w:val="single" w:sz="16" w:space="0" w:color="000000"/>
            </w:tcBorders>
            <w:shd w:val="clear" w:color="auto" w:fill="FFFFFF"/>
            <w:vAlign w:val="center"/>
          </w:tcPr>
          <w:p w14:paraId="5B9EDA0B" w14:textId="77777777" w:rsidR="00F04CD0" w:rsidRPr="00F04CD0" w:rsidRDefault="00F04CD0" w:rsidP="00F04CD0">
            <w:pPr>
              <w:autoSpaceDE w:val="0"/>
              <w:autoSpaceDN w:val="0"/>
              <w:adjustRightInd w:val="0"/>
              <w:spacing w:line="320" w:lineRule="atLeast"/>
              <w:ind w:left="60" w:right="60"/>
              <w:jc w:val="right"/>
              <w:rPr>
                <w:rFonts w:ascii="Arial" w:hAnsi="Arial" w:cs="Arial"/>
                <w:color w:val="000000"/>
                <w:kern w:val="0"/>
                <w:sz w:val="18"/>
                <w:szCs w:val="18"/>
              </w:rPr>
            </w:pPr>
            <w:r w:rsidRPr="00F04CD0">
              <w:rPr>
                <w:rFonts w:ascii="Arial" w:hAnsi="Arial" w:cs="Arial"/>
                <w:color w:val="000000"/>
                <w:kern w:val="0"/>
                <w:sz w:val="18"/>
                <w:szCs w:val="18"/>
              </w:rPr>
              <w:t>100.0</w:t>
            </w:r>
          </w:p>
        </w:tc>
        <w:tc>
          <w:tcPr>
            <w:tcW w:w="1475" w:type="dxa"/>
            <w:tcBorders>
              <w:top w:val="single" w:sz="16" w:space="0" w:color="000000"/>
              <w:bottom w:val="single" w:sz="16" w:space="0" w:color="000000"/>
              <w:right w:val="single" w:sz="16" w:space="0" w:color="000000"/>
            </w:tcBorders>
            <w:shd w:val="clear" w:color="auto" w:fill="FFFFFF"/>
            <w:vAlign w:val="center"/>
          </w:tcPr>
          <w:p w14:paraId="781FB62E" w14:textId="77777777" w:rsidR="00F04CD0" w:rsidRPr="00F04CD0" w:rsidRDefault="00F04CD0" w:rsidP="00F04CD0">
            <w:pPr>
              <w:autoSpaceDE w:val="0"/>
              <w:autoSpaceDN w:val="0"/>
              <w:adjustRightInd w:val="0"/>
              <w:spacing w:line="320" w:lineRule="atLeast"/>
              <w:ind w:left="60" w:right="60"/>
              <w:jc w:val="right"/>
              <w:rPr>
                <w:rFonts w:ascii="Arial" w:hAnsi="Arial" w:cs="Arial"/>
                <w:color w:val="000000"/>
                <w:kern w:val="0"/>
                <w:sz w:val="18"/>
                <w:szCs w:val="18"/>
              </w:rPr>
            </w:pPr>
            <w:r w:rsidRPr="00F04CD0">
              <w:rPr>
                <w:rFonts w:ascii="Arial" w:hAnsi="Arial" w:cs="Arial"/>
                <w:color w:val="000000"/>
                <w:kern w:val="0"/>
                <w:sz w:val="18"/>
                <w:szCs w:val="18"/>
              </w:rPr>
              <w:t>100.0</w:t>
            </w:r>
          </w:p>
        </w:tc>
      </w:tr>
    </w:tbl>
    <w:p w14:paraId="5F6A0CE6" w14:textId="77777777" w:rsidR="006374CF" w:rsidRDefault="006374CF" w:rsidP="00272BC5">
      <w:pPr>
        <w:autoSpaceDE w:val="0"/>
        <w:autoSpaceDN w:val="0"/>
        <w:adjustRightInd w:val="0"/>
        <w:spacing w:line="240" w:lineRule="auto"/>
        <w:jc w:val="left"/>
        <w:rPr>
          <w:rFonts w:ascii="Times New Roman" w:hAnsi="Times New Roman" w:cs="Times New Roman"/>
          <w:kern w:val="0"/>
          <w:sz w:val="24"/>
          <w:szCs w:val="24"/>
        </w:rPr>
      </w:pPr>
    </w:p>
    <w:p w14:paraId="1CD6A6B3" w14:textId="7C591272" w:rsidR="008C064E" w:rsidRDefault="008C064E" w:rsidP="008C064E">
      <w:pPr>
        <w:autoSpaceDE w:val="0"/>
        <w:autoSpaceDN w:val="0"/>
        <w:adjustRightInd w:val="0"/>
        <w:spacing w:line="240" w:lineRule="auto"/>
        <w:jc w:val="left"/>
        <w:rPr>
          <w:rFonts w:ascii="Times New Roman" w:hAnsi="Times New Roman" w:cs="Times New Roman"/>
          <w:kern w:val="0"/>
          <w:sz w:val="24"/>
          <w:szCs w:val="24"/>
        </w:rPr>
      </w:pPr>
    </w:p>
    <w:p w14:paraId="3C1EDC87" w14:textId="77777777" w:rsidR="008F72F0" w:rsidRDefault="008F72F0" w:rsidP="008C064E">
      <w:pPr>
        <w:autoSpaceDE w:val="0"/>
        <w:autoSpaceDN w:val="0"/>
        <w:adjustRightInd w:val="0"/>
        <w:spacing w:line="240" w:lineRule="auto"/>
        <w:jc w:val="left"/>
        <w:rPr>
          <w:rFonts w:ascii="Times New Roman" w:hAnsi="Times New Roman" w:cs="Times New Roman"/>
          <w:kern w:val="0"/>
          <w:sz w:val="24"/>
          <w:szCs w:val="24"/>
        </w:rPr>
      </w:pPr>
    </w:p>
    <w:p w14:paraId="004D589A" w14:textId="77777777" w:rsidR="008F72F0" w:rsidRPr="008C064E" w:rsidRDefault="008F72F0" w:rsidP="001B7C7B">
      <w:pPr>
        <w:autoSpaceDE w:val="0"/>
        <w:autoSpaceDN w:val="0"/>
        <w:adjustRightInd w:val="0"/>
        <w:jc w:val="left"/>
        <w:rPr>
          <w:rFonts w:ascii="Times New Roman" w:hAnsi="Times New Roman" w:cs="Times New Roman"/>
          <w:kern w:val="0"/>
          <w:sz w:val="24"/>
          <w:szCs w:val="24"/>
        </w:rPr>
      </w:pPr>
    </w:p>
    <w:p w14:paraId="71C5D1BA" w14:textId="77777777" w:rsidR="008C064E" w:rsidRPr="008C064E" w:rsidRDefault="008C064E" w:rsidP="001B7C7B">
      <w:pPr>
        <w:autoSpaceDE w:val="0"/>
        <w:autoSpaceDN w:val="0"/>
        <w:adjustRightInd w:val="0"/>
        <w:jc w:val="left"/>
        <w:rPr>
          <w:rFonts w:ascii="Times New Roman" w:hAnsi="Times New Roman" w:cs="Times New Roman"/>
          <w:kern w:val="0"/>
          <w:sz w:val="24"/>
          <w:szCs w:val="24"/>
        </w:rPr>
      </w:pPr>
      <w:r w:rsidRPr="008C064E">
        <w:rPr>
          <w:rFonts w:ascii="Times New Roman" w:hAnsi="Times New Roman" w:cs="Times New Roman"/>
          <w:kern w:val="0"/>
          <w:sz w:val="24"/>
          <w:szCs w:val="24"/>
        </w:rPr>
        <w:t>The table presents findings from a quantitative research study that asked participants whether they feel adequately prepared to address gender-related challenges in their work. These challenges may include issues such as discrimination, LGBTQ+ concerns, and cultural barriers. According to the data, all 100 respondents (100%) answered “Yes,” meaning that every single participant reported feeling prepared to handle such issues in their professional roles. There were no responses indicating a lack of preparation, which shows a strong and unified sense of confidence among the participants regarding their ability to manage gender-related challenges at work.</w:t>
      </w:r>
    </w:p>
    <w:p w14:paraId="4D0BCF52" w14:textId="77777777" w:rsidR="008C064E" w:rsidRPr="008C064E" w:rsidRDefault="008C064E" w:rsidP="001B7C7B">
      <w:pPr>
        <w:autoSpaceDE w:val="0"/>
        <w:autoSpaceDN w:val="0"/>
        <w:adjustRightInd w:val="0"/>
        <w:jc w:val="left"/>
        <w:rPr>
          <w:rFonts w:ascii="Times New Roman" w:hAnsi="Times New Roman" w:cs="Times New Roman"/>
          <w:kern w:val="0"/>
          <w:sz w:val="24"/>
          <w:szCs w:val="24"/>
        </w:rPr>
      </w:pPr>
    </w:p>
    <w:p w14:paraId="591D5547" w14:textId="77777777" w:rsidR="008C064E" w:rsidRPr="008C064E" w:rsidRDefault="008C064E" w:rsidP="001B7C7B">
      <w:pPr>
        <w:autoSpaceDE w:val="0"/>
        <w:autoSpaceDN w:val="0"/>
        <w:adjustRightInd w:val="0"/>
        <w:jc w:val="left"/>
        <w:rPr>
          <w:rFonts w:ascii="Times New Roman" w:hAnsi="Times New Roman" w:cs="Times New Roman"/>
          <w:kern w:val="0"/>
          <w:sz w:val="24"/>
          <w:szCs w:val="24"/>
        </w:rPr>
      </w:pPr>
      <w:r w:rsidRPr="008C064E">
        <w:rPr>
          <w:rFonts w:ascii="Times New Roman" w:hAnsi="Times New Roman" w:cs="Times New Roman"/>
          <w:kern w:val="0"/>
          <w:sz w:val="24"/>
          <w:szCs w:val="24"/>
        </w:rPr>
        <w:t>This result is very significant as it reflects a high level of awareness and readiness among professionals working in areas that involve gender-sensitive issues. Feeling prepared to address topics such as gender discrimination and the needs of LGBTQ+ individuals is important in creating inclusive and supportive work environments. It also suggests that the participants likely have access to training, resources, and support systems that help them respond appropriately and effectively in different situations involving gender diversity and equality.</w:t>
      </w:r>
    </w:p>
    <w:p w14:paraId="555D727D" w14:textId="77777777" w:rsidR="008C064E" w:rsidRPr="008C064E" w:rsidRDefault="008C064E" w:rsidP="001B7C7B">
      <w:pPr>
        <w:autoSpaceDE w:val="0"/>
        <w:autoSpaceDN w:val="0"/>
        <w:adjustRightInd w:val="0"/>
        <w:jc w:val="left"/>
        <w:rPr>
          <w:rFonts w:ascii="Times New Roman" w:hAnsi="Times New Roman" w:cs="Times New Roman"/>
          <w:kern w:val="0"/>
          <w:sz w:val="24"/>
          <w:szCs w:val="24"/>
        </w:rPr>
      </w:pPr>
    </w:p>
    <w:p w14:paraId="7CFDFC40" w14:textId="77777777" w:rsidR="008C064E" w:rsidRPr="008C064E" w:rsidRDefault="008C064E" w:rsidP="001B7C7B">
      <w:pPr>
        <w:autoSpaceDE w:val="0"/>
        <w:autoSpaceDN w:val="0"/>
        <w:adjustRightInd w:val="0"/>
        <w:jc w:val="left"/>
        <w:rPr>
          <w:rFonts w:ascii="Times New Roman" w:hAnsi="Times New Roman" w:cs="Times New Roman"/>
          <w:kern w:val="0"/>
          <w:sz w:val="24"/>
          <w:szCs w:val="24"/>
        </w:rPr>
      </w:pPr>
      <w:r w:rsidRPr="008C064E">
        <w:rPr>
          <w:rFonts w:ascii="Times New Roman" w:hAnsi="Times New Roman" w:cs="Times New Roman"/>
          <w:kern w:val="0"/>
          <w:sz w:val="24"/>
          <w:szCs w:val="24"/>
        </w:rPr>
        <w:t xml:space="preserve">In conclusion, the findings from this table are encouraging and show positive progress in professional preparedness when it comes to addressing gender-related challenges. A 100% response rate of “Yes” is rare in research and points to a strong foundation of </w:t>
      </w:r>
      <w:r w:rsidRPr="008C064E">
        <w:rPr>
          <w:rFonts w:ascii="Times New Roman" w:hAnsi="Times New Roman" w:cs="Times New Roman"/>
          <w:kern w:val="0"/>
          <w:sz w:val="24"/>
          <w:szCs w:val="24"/>
        </w:rPr>
        <w:lastRenderedPageBreak/>
        <w:t>knowledge and confidence among the respondents. This may be the result of proper training, educational support, and workplace policies that promote inclusion and sensitivity. While this is a positive outcome, it is still important for organizations to maintain this momentum by continuing education and providing up-to-date resources so that professionals can stay equipped to deal with evolving gender-related issues in diverse work environments.</w:t>
      </w:r>
    </w:p>
    <w:tbl>
      <w:tblPr>
        <w:tblW w:w="0" w:type="auto"/>
        <w:tblCellMar>
          <w:top w:w="15" w:type="dxa"/>
          <w:left w:w="15" w:type="dxa"/>
          <w:bottom w:w="15" w:type="dxa"/>
          <w:right w:w="15" w:type="dxa"/>
        </w:tblCellMar>
        <w:tblLook w:val="04A0" w:firstRow="1" w:lastRow="0" w:firstColumn="1" w:lastColumn="0" w:noHBand="0" w:noVBand="1"/>
      </w:tblPr>
      <w:tblGrid>
        <w:gridCol w:w="591"/>
        <w:gridCol w:w="7715"/>
      </w:tblGrid>
      <w:tr w:rsidR="008C064E" w:rsidRPr="008C064E" w14:paraId="38CF9F1F" w14:textId="77777777" w:rsidTr="008C064E">
        <w:tc>
          <w:tcPr>
            <w:tcW w:w="660" w:type="dxa"/>
            <w:tcMar>
              <w:top w:w="0" w:type="dxa"/>
              <w:left w:w="240" w:type="dxa"/>
              <w:bottom w:w="0" w:type="dxa"/>
              <w:right w:w="240" w:type="dxa"/>
            </w:tcMar>
            <w:hideMark/>
          </w:tcPr>
          <w:p w14:paraId="36C31119" w14:textId="22ED561C" w:rsidR="008C064E" w:rsidRPr="008C064E" w:rsidRDefault="008C064E" w:rsidP="001B7C7B">
            <w:pPr>
              <w:autoSpaceDE w:val="0"/>
              <w:autoSpaceDN w:val="0"/>
              <w:adjustRightInd w:val="0"/>
              <w:jc w:val="left"/>
              <w:rPr>
                <w:rFonts w:ascii="Times New Roman" w:hAnsi="Times New Roman" w:cs="Times New Roman"/>
                <w:kern w:val="0"/>
                <w:sz w:val="24"/>
                <w:szCs w:val="24"/>
              </w:rPr>
            </w:pPr>
          </w:p>
        </w:tc>
        <w:tc>
          <w:tcPr>
            <w:tcW w:w="12840" w:type="dxa"/>
            <w:tcMar>
              <w:top w:w="0" w:type="dxa"/>
              <w:left w:w="0" w:type="dxa"/>
              <w:bottom w:w="0" w:type="dxa"/>
              <w:right w:w="0" w:type="dxa"/>
            </w:tcMar>
            <w:vAlign w:val="center"/>
            <w:hideMark/>
          </w:tcPr>
          <w:p w14:paraId="14666F7C" w14:textId="03BA0C61" w:rsidR="008C064E" w:rsidRPr="008C064E" w:rsidRDefault="008C064E" w:rsidP="001B7C7B">
            <w:pPr>
              <w:autoSpaceDE w:val="0"/>
              <w:autoSpaceDN w:val="0"/>
              <w:adjustRightInd w:val="0"/>
              <w:jc w:val="left"/>
              <w:rPr>
                <w:rFonts w:ascii="Times New Roman" w:hAnsi="Times New Roman" w:cs="Times New Roman"/>
                <w:kern w:val="0"/>
                <w:sz w:val="24"/>
                <w:szCs w:val="24"/>
              </w:rPr>
            </w:pPr>
          </w:p>
        </w:tc>
      </w:tr>
    </w:tbl>
    <w:p w14:paraId="2D68AB39" w14:textId="77777777" w:rsidR="006374CF" w:rsidRDefault="006374CF" w:rsidP="00C030C8">
      <w:pPr>
        <w:autoSpaceDE w:val="0"/>
        <w:autoSpaceDN w:val="0"/>
        <w:adjustRightInd w:val="0"/>
        <w:jc w:val="left"/>
        <w:rPr>
          <w:rFonts w:ascii="Times New Roman" w:hAnsi="Times New Roman" w:cs="Times New Roman"/>
          <w:kern w:val="0"/>
          <w:sz w:val="24"/>
          <w:szCs w:val="24"/>
        </w:rPr>
      </w:pPr>
    </w:p>
    <w:p w14:paraId="1F0A531C" w14:textId="77777777" w:rsidR="006374CF" w:rsidRDefault="006374CF" w:rsidP="00272BC5">
      <w:pPr>
        <w:autoSpaceDE w:val="0"/>
        <w:autoSpaceDN w:val="0"/>
        <w:adjustRightInd w:val="0"/>
        <w:spacing w:line="240" w:lineRule="auto"/>
        <w:jc w:val="left"/>
        <w:rPr>
          <w:rFonts w:ascii="Times New Roman" w:hAnsi="Times New Roman" w:cs="Times New Roman"/>
          <w:kern w:val="0"/>
          <w:sz w:val="24"/>
          <w:szCs w:val="24"/>
        </w:rPr>
      </w:pPr>
    </w:p>
    <w:p w14:paraId="03869B66"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652BB994"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6912C97E"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06129957"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6E0C2A05"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301BA296"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3B9FD37F"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6D56D1A7"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7D1A469A"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28C5BC63"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515275C0"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2EA733C0"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427766CF"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6BE93887" w14:textId="77777777" w:rsidR="00AC5BA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14403692" w14:textId="77777777" w:rsidR="00AC5BA5" w:rsidRPr="00272BC5" w:rsidRDefault="00AC5BA5" w:rsidP="00272BC5">
      <w:pPr>
        <w:autoSpaceDE w:val="0"/>
        <w:autoSpaceDN w:val="0"/>
        <w:adjustRightInd w:val="0"/>
        <w:spacing w:line="240" w:lineRule="auto"/>
        <w:jc w:val="left"/>
        <w:rPr>
          <w:rFonts w:ascii="Times New Roman" w:hAnsi="Times New Roman" w:cs="Times New Roman"/>
          <w:kern w:val="0"/>
          <w:sz w:val="24"/>
          <w:szCs w:val="24"/>
        </w:rPr>
      </w:pPr>
    </w:p>
    <w:p w14:paraId="6427E570" w14:textId="77777777" w:rsidR="00272BC5" w:rsidRPr="00272BC5" w:rsidRDefault="00272BC5" w:rsidP="00272BC5">
      <w:pPr>
        <w:autoSpaceDE w:val="0"/>
        <w:autoSpaceDN w:val="0"/>
        <w:adjustRightInd w:val="0"/>
        <w:spacing w:line="400" w:lineRule="atLeast"/>
        <w:jc w:val="left"/>
        <w:rPr>
          <w:rFonts w:ascii="Times New Roman" w:hAnsi="Times New Roman" w:cs="Times New Roman"/>
          <w:kern w:val="0"/>
          <w:sz w:val="24"/>
          <w:szCs w:val="24"/>
        </w:rPr>
      </w:pPr>
    </w:p>
    <w:p w14:paraId="43AC6AB1" w14:textId="77777777" w:rsidR="00C97711" w:rsidRDefault="00C97711" w:rsidP="00260D35">
      <w:pPr>
        <w:pStyle w:val="ListParagraph"/>
        <w:tabs>
          <w:tab w:val="left" w:pos="3380"/>
        </w:tabs>
      </w:pPr>
    </w:p>
    <w:p w14:paraId="7EDB8E8C" w14:textId="77777777" w:rsidR="00465AE7" w:rsidRDefault="00465AE7" w:rsidP="00260D35">
      <w:pPr>
        <w:pStyle w:val="ListParagraph"/>
        <w:tabs>
          <w:tab w:val="left" w:pos="3380"/>
        </w:tabs>
      </w:pPr>
    </w:p>
    <w:p w14:paraId="2668CB19" w14:textId="77777777" w:rsidR="007A36BA" w:rsidRDefault="007A36BA" w:rsidP="00260D35">
      <w:pPr>
        <w:pStyle w:val="ListParagraph"/>
        <w:tabs>
          <w:tab w:val="left" w:pos="3380"/>
        </w:tabs>
      </w:pPr>
    </w:p>
    <w:p w14:paraId="5E97A33E" w14:textId="77777777" w:rsidR="006374CF" w:rsidRDefault="006374CF" w:rsidP="00260D35">
      <w:pPr>
        <w:pStyle w:val="ListParagraph"/>
        <w:tabs>
          <w:tab w:val="left" w:pos="3380"/>
        </w:tabs>
      </w:pPr>
    </w:p>
    <w:p w14:paraId="114E2BAD" w14:textId="77777777" w:rsidR="006374CF" w:rsidRDefault="006374CF" w:rsidP="00260D35">
      <w:pPr>
        <w:pStyle w:val="ListParagraph"/>
        <w:tabs>
          <w:tab w:val="left" w:pos="3380"/>
        </w:tabs>
      </w:pPr>
    </w:p>
    <w:p w14:paraId="151723CB" w14:textId="77777777" w:rsidR="006374CF" w:rsidRDefault="006374CF" w:rsidP="00260D35">
      <w:pPr>
        <w:pStyle w:val="ListParagraph"/>
        <w:tabs>
          <w:tab w:val="left" w:pos="3380"/>
        </w:tabs>
      </w:pPr>
    </w:p>
    <w:p w14:paraId="221E9196" w14:textId="77777777" w:rsidR="006374CF" w:rsidRDefault="006374CF" w:rsidP="00260D35">
      <w:pPr>
        <w:pStyle w:val="ListParagraph"/>
        <w:tabs>
          <w:tab w:val="left" w:pos="3380"/>
        </w:tabs>
      </w:pPr>
    </w:p>
    <w:p w14:paraId="3DA24081" w14:textId="77777777" w:rsidR="006374CF" w:rsidRDefault="006374CF" w:rsidP="00260D35">
      <w:pPr>
        <w:pStyle w:val="ListParagraph"/>
        <w:tabs>
          <w:tab w:val="left" w:pos="3380"/>
        </w:tabs>
      </w:pPr>
    </w:p>
    <w:p w14:paraId="0F45763E" w14:textId="0B1EEED7" w:rsidR="00B66D10" w:rsidRDefault="00B66D10" w:rsidP="00766F96">
      <w:pPr>
        <w:tabs>
          <w:tab w:val="left" w:pos="3380"/>
        </w:tabs>
      </w:pPr>
    </w:p>
    <w:p w14:paraId="681FDFD5" w14:textId="4DC649E6" w:rsidR="00E93583" w:rsidRDefault="00E93583" w:rsidP="00260D35">
      <w:pPr>
        <w:pStyle w:val="ListParagraph"/>
        <w:tabs>
          <w:tab w:val="left" w:pos="3380"/>
        </w:tabs>
      </w:pPr>
    </w:p>
    <w:p w14:paraId="4CE242F7" w14:textId="202B5E39" w:rsidR="00432EC4" w:rsidRPr="0015047F" w:rsidRDefault="00DE233A" w:rsidP="0015047F">
      <w:pPr>
        <w:tabs>
          <w:tab w:val="left" w:pos="3380"/>
        </w:tabs>
        <w:rPr>
          <w:b/>
          <w:bCs/>
          <w:sz w:val="40"/>
          <w:szCs w:val="40"/>
        </w:rPr>
      </w:pPr>
      <w:r w:rsidRPr="0015047F">
        <w:rPr>
          <w:b/>
          <w:bCs/>
          <w:sz w:val="40"/>
          <w:szCs w:val="40"/>
        </w:rPr>
        <w:t xml:space="preserve">          </w:t>
      </w:r>
      <w:r w:rsidR="00432EC4" w:rsidRPr="0015047F">
        <w:rPr>
          <w:b/>
          <w:bCs/>
          <w:sz w:val="40"/>
          <w:szCs w:val="40"/>
        </w:rPr>
        <w:t xml:space="preserve">      </w:t>
      </w:r>
    </w:p>
    <w:p w14:paraId="08263376" w14:textId="77777777" w:rsidR="00432EC4" w:rsidRDefault="00432EC4" w:rsidP="00DE233A">
      <w:pPr>
        <w:pStyle w:val="ListParagraph"/>
        <w:tabs>
          <w:tab w:val="left" w:pos="3380"/>
        </w:tabs>
        <w:rPr>
          <w:b/>
          <w:bCs/>
          <w:sz w:val="40"/>
          <w:szCs w:val="40"/>
        </w:rPr>
      </w:pPr>
    </w:p>
    <w:p w14:paraId="705F951D" w14:textId="21A7C151" w:rsidR="000E738B" w:rsidRPr="00DE233A" w:rsidRDefault="00432EC4" w:rsidP="00DE233A">
      <w:pPr>
        <w:pStyle w:val="ListParagraph"/>
        <w:tabs>
          <w:tab w:val="left" w:pos="3380"/>
        </w:tabs>
        <w:rPr>
          <w:b/>
          <w:bCs/>
          <w:sz w:val="40"/>
          <w:szCs w:val="40"/>
        </w:rPr>
      </w:pPr>
      <w:r>
        <w:rPr>
          <w:b/>
          <w:bCs/>
          <w:sz w:val="40"/>
          <w:szCs w:val="40"/>
        </w:rPr>
        <w:lastRenderedPageBreak/>
        <w:t xml:space="preserve">                      </w:t>
      </w:r>
      <w:r w:rsidR="00DE233A">
        <w:rPr>
          <w:b/>
          <w:bCs/>
          <w:sz w:val="40"/>
          <w:szCs w:val="40"/>
        </w:rPr>
        <w:t xml:space="preserve">     CHAPTER-</w:t>
      </w:r>
      <w:r w:rsidR="000E738B" w:rsidRPr="008F72F0">
        <w:rPr>
          <w:b/>
          <w:bCs/>
          <w:sz w:val="40"/>
          <w:szCs w:val="40"/>
        </w:rPr>
        <w:t xml:space="preserve"> 5</w:t>
      </w:r>
    </w:p>
    <w:p w14:paraId="1DE87133" w14:textId="6D1AE0C1" w:rsidR="000E738B" w:rsidRPr="008F72F0" w:rsidRDefault="004C1C81" w:rsidP="00260D35">
      <w:pPr>
        <w:pStyle w:val="ListParagraph"/>
        <w:tabs>
          <w:tab w:val="left" w:pos="3380"/>
        </w:tabs>
        <w:rPr>
          <w:b/>
          <w:bCs/>
          <w:sz w:val="40"/>
          <w:szCs w:val="40"/>
        </w:rPr>
      </w:pPr>
      <w:proofErr w:type="gramStart"/>
      <w:r w:rsidRPr="008F72F0">
        <w:rPr>
          <w:b/>
          <w:bCs/>
          <w:sz w:val="40"/>
          <w:szCs w:val="40"/>
        </w:rPr>
        <w:t>FINDINGS,RECOMMENDATION</w:t>
      </w:r>
      <w:proofErr w:type="gramEnd"/>
      <w:r w:rsidRPr="008F72F0">
        <w:rPr>
          <w:b/>
          <w:bCs/>
          <w:sz w:val="40"/>
          <w:szCs w:val="40"/>
        </w:rPr>
        <w:t>,IMPLICATIONS FOR PROFESSIONAL SOCIAL WORK PRACTICE.</w:t>
      </w:r>
    </w:p>
    <w:p w14:paraId="794B7F13" w14:textId="77777777" w:rsidR="000E738B" w:rsidRDefault="000E738B" w:rsidP="00260D35">
      <w:pPr>
        <w:pStyle w:val="ListParagraph"/>
        <w:tabs>
          <w:tab w:val="left" w:pos="3380"/>
        </w:tabs>
      </w:pPr>
    </w:p>
    <w:p w14:paraId="6056FC07" w14:textId="4C99E258" w:rsidR="000E738B" w:rsidRDefault="000E738B" w:rsidP="00260D35">
      <w:pPr>
        <w:pStyle w:val="ListParagraph"/>
        <w:tabs>
          <w:tab w:val="left" w:pos="3380"/>
        </w:tabs>
      </w:pPr>
    </w:p>
    <w:p w14:paraId="040F899D" w14:textId="77777777" w:rsidR="000E738B" w:rsidRDefault="000E738B" w:rsidP="00260D35">
      <w:pPr>
        <w:pStyle w:val="ListParagraph"/>
        <w:tabs>
          <w:tab w:val="left" w:pos="3380"/>
        </w:tabs>
      </w:pPr>
    </w:p>
    <w:p w14:paraId="631F032E" w14:textId="2488F543" w:rsidR="000E738B" w:rsidRDefault="000E738B" w:rsidP="00260D35">
      <w:pPr>
        <w:pStyle w:val="ListParagraph"/>
        <w:tabs>
          <w:tab w:val="left" w:pos="3380"/>
        </w:tabs>
      </w:pPr>
    </w:p>
    <w:p w14:paraId="37C9EFED" w14:textId="77777777" w:rsidR="000E738B" w:rsidRDefault="000E738B" w:rsidP="00260D35">
      <w:pPr>
        <w:pStyle w:val="ListParagraph"/>
        <w:tabs>
          <w:tab w:val="left" w:pos="3380"/>
        </w:tabs>
      </w:pPr>
    </w:p>
    <w:p w14:paraId="5BFAEB18" w14:textId="77777777" w:rsidR="000E738B" w:rsidRDefault="000E738B" w:rsidP="00260D35">
      <w:pPr>
        <w:pStyle w:val="ListParagraph"/>
        <w:tabs>
          <w:tab w:val="left" w:pos="3380"/>
        </w:tabs>
      </w:pPr>
    </w:p>
    <w:p w14:paraId="596DC86E" w14:textId="77777777" w:rsidR="00B66D10" w:rsidRDefault="00B66D10" w:rsidP="00260D35">
      <w:pPr>
        <w:pStyle w:val="ListParagraph"/>
        <w:tabs>
          <w:tab w:val="left" w:pos="3380"/>
        </w:tabs>
      </w:pPr>
    </w:p>
    <w:p w14:paraId="4CAD033D" w14:textId="77777777" w:rsidR="00B66D10" w:rsidRDefault="00B66D10" w:rsidP="00260D35">
      <w:pPr>
        <w:pStyle w:val="ListParagraph"/>
        <w:tabs>
          <w:tab w:val="left" w:pos="3380"/>
        </w:tabs>
      </w:pPr>
    </w:p>
    <w:p w14:paraId="6081E18B" w14:textId="77777777" w:rsidR="00B66D10" w:rsidRDefault="00B66D10" w:rsidP="00260D35">
      <w:pPr>
        <w:pStyle w:val="ListParagraph"/>
        <w:tabs>
          <w:tab w:val="left" w:pos="3380"/>
        </w:tabs>
      </w:pPr>
    </w:p>
    <w:p w14:paraId="00379D49" w14:textId="77777777" w:rsidR="00B66D10" w:rsidRDefault="00B66D10" w:rsidP="00260D35">
      <w:pPr>
        <w:pStyle w:val="ListParagraph"/>
        <w:tabs>
          <w:tab w:val="left" w:pos="3380"/>
        </w:tabs>
      </w:pPr>
    </w:p>
    <w:p w14:paraId="53A837A3" w14:textId="77777777" w:rsidR="00B66D10" w:rsidRDefault="00B66D10" w:rsidP="00260D35">
      <w:pPr>
        <w:pStyle w:val="ListParagraph"/>
        <w:tabs>
          <w:tab w:val="left" w:pos="3380"/>
        </w:tabs>
      </w:pPr>
    </w:p>
    <w:p w14:paraId="67E06F9E" w14:textId="77777777" w:rsidR="00B66D10" w:rsidRDefault="00B66D10" w:rsidP="00260D35">
      <w:pPr>
        <w:pStyle w:val="ListParagraph"/>
        <w:tabs>
          <w:tab w:val="left" w:pos="3380"/>
        </w:tabs>
      </w:pPr>
    </w:p>
    <w:p w14:paraId="7B65E494" w14:textId="77777777" w:rsidR="00B66D10" w:rsidRDefault="00B66D10" w:rsidP="00260D35">
      <w:pPr>
        <w:pStyle w:val="ListParagraph"/>
        <w:tabs>
          <w:tab w:val="left" w:pos="3380"/>
        </w:tabs>
      </w:pPr>
    </w:p>
    <w:p w14:paraId="68B9104E" w14:textId="77777777" w:rsidR="00B66D10" w:rsidRDefault="00B66D10" w:rsidP="00260D35">
      <w:pPr>
        <w:pStyle w:val="ListParagraph"/>
        <w:tabs>
          <w:tab w:val="left" w:pos="3380"/>
        </w:tabs>
      </w:pPr>
    </w:p>
    <w:p w14:paraId="620D1CB7" w14:textId="77777777" w:rsidR="00B66D10" w:rsidRDefault="00B66D10" w:rsidP="00260D35">
      <w:pPr>
        <w:pStyle w:val="ListParagraph"/>
        <w:tabs>
          <w:tab w:val="left" w:pos="3380"/>
        </w:tabs>
      </w:pPr>
    </w:p>
    <w:p w14:paraId="00AC9D77" w14:textId="77777777" w:rsidR="0099555F" w:rsidRDefault="0099555F" w:rsidP="0015047F">
      <w:pPr>
        <w:tabs>
          <w:tab w:val="left" w:pos="3380"/>
        </w:tabs>
      </w:pPr>
    </w:p>
    <w:p w14:paraId="15FF9407" w14:textId="77777777" w:rsidR="0099555F" w:rsidRDefault="0099555F" w:rsidP="00260D35">
      <w:pPr>
        <w:pStyle w:val="ListParagraph"/>
        <w:tabs>
          <w:tab w:val="left" w:pos="3380"/>
        </w:tabs>
      </w:pPr>
    </w:p>
    <w:p w14:paraId="5CC8F67C" w14:textId="77777777" w:rsidR="0099555F" w:rsidRDefault="0099555F" w:rsidP="00260D35">
      <w:pPr>
        <w:pStyle w:val="ListParagraph"/>
        <w:tabs>
          <w:tab w:val="left" w:pos="3380"/>
        </w:tabs>
      </w:pPr>
    </w:p>
    <w:p w14:paraId="645D0F38" w14:textId="611DB095" w:rsidR="0099555F" w:rsidRDefault="0099555F" w:rsidP="00260D35">
      <w:pPr>
        <w:pStyle w:val="ListParagraph"/>
        <w:tabs>
          <w:tab w:val="left" w:pos="3380"/>
        </w:tabs>
      </w:pPr>
      <w:r>
        <w:t>This chapter presents the major findings of the study titled “Gender Competencies of Final-Year MSW Students under MG University, Kerala”. The research aimed to evaluate the knowledge, skills, attitudes, and practical readiness of Master of Social Work students in addressing gender-based inequalities and gender-based violence (GBV) in both institutional and community contexts. As future social work professionals, these students are expected to uphold the values of gender justice, advocate for marginalized populations, and intervene effectively in cases of violence and discrimination. Therefore, assessing their preparedness in this domain is not only timely but also essential for curriculum development and policy reform in social work education.</w:t>
      </w:r>
    </w:p>
    <w:p w14:paraId="05E2284F" w14:textId="2DB35E28" w:rsidR="00642B63" w:rsidRDefault="00642B63" w:rsidP="00EA58C5">
      <w:pPr>
        <w:pStyle w:val="ListParagraph"/>
        <w:tabs>
          <w:tab w:val="left" w:pos="3380"/>
        </w:tabs>
      </w:pPr>
      <w:r>
        <w:lastRenderedPageBreak/>
        <w:t xml:space="preserve">              The findings outlined in this chapter are based on a quantitative analysis of responses collected from 100 final-year MSW students. The data provides insights into the participants’ level of awareness regarding gender issues, the extent of formal training they received, their application of gender-sensitive approaches in practice, and their ethical perspectives on challenging gender norms and supporting survivors of GBV. Additionally, this chapter sheds light on the challenges and structural barriers these students face in real-world practice, despite their training and motivation.</w:t>
      </w:r>
    </w:p>
    <w:p w14:paraId="0567FBF7" w14:textId="77777777" w:rsidR="00642B63" w:rsidRDefault="00642B63" w:rsidP="00260D35">
      <w:pPr>
        <w:pStyle w:val="ListParagraph"/>
        <w:tabs>
          <w:tab w:val="left" w:pos="3380"/>
        </w:tabs>
      </w:pPr>
    </w:p>
    <w:p w14:paraId="2CD20EA7" w14:textId="1AFA8072" w:rsidR="0099555F" w:rsidRDefault="0099555F" w:rsidP="00260D35">
      <w:pPr>
        <w:pStyle w:val="ListParagraph"/>
        <w:tabs>
          <w:tab w:val="left" w:pos="3380"/>
        </w:tabs>
      </w:pPr>
      <w:r>
        <w:t xml:space="preserve">                  </w:t>
      </w:r>
      <w:r w:rsidR="00EA58C5">
        <w:t>By systematically examining each dimension of gender competence—awareness, training, skills application, ethical commitment, and practice readiness—this chapter highlights both the strengths and the limitations within the current framework of social work education. These insights offer a foundation for the recommendations that follow in subsequent chapters, aiming to strengthen gender-responsive social work practice in Kerala and similar settings.</w:t>
      </w:r>
    </w:p>
    <w:p w14:paraId="28D786E2" w14:textId="77777777" w:rsidR="00EA58C5" w:rsidRDefault="00EA58C5" w:rsidP="00260D35">
      <w:pPr>
        <w:pStyle w:val="ListParagraph"/>
        <w:tabs>
          <w:tab w:val="left" w:pos="3380"/>
        </w:tabs>
      </w:pPr>
    </w:p>
    <w:p w14:paraId="0E499BF9" w14:textId="33686CCB" w:rsidR="00EA58C5" w:rsidRPr="00335442" w:rsidRDefault="00C13512" w:rsidP="00C13512">
      <w:pPr>
        <w:pStyle w:val="ListParagraph"/>
        <w:numPr>
          <w:ilvl w:val="0"/>
          <w:numId w:val="17"/>
        </w:numPr>
        <w:tabs>
          <w:tab w:val="left" w:pos="3380"/>
        </w:tabs>
        <w:rPr>
          <w:b/>
          <w:bCs/>
        </w:rPr>
      </w:pPr>
      <w:r w:rsidRPr="00335442">
        <w:rPr>
          <w:b/>
          <w:bCs/>
        </w:rPr>
        <w:t>High Awareness of Gender Issues</w:t>
      </w:r>
    </w:p>
    <w:p w14:paraId="5F190B38" w14:textId="5B87D14D" w:rsidR="00C13512" w:rsidRDefault="00C13512" w:rsidP="00C13512">
      <w:pPr>
        <w:tabs>
          <w:tab w:val="left" w:pos="3380"/>
        </w:tabs>
        <w:ind w:left="720"/>
      </w:pPr>
      <w:r>
        <w:t xml:space="preserve">    </w:t>
      </w:r>
      <w:r w:rsidR="005D0673">
        <w:t>The research revealed that a significant majority of the participants (98%) demonstrated a clear awareness of key gender-specific issues such as the gender pay gap, domestic violence, unequal access to education, and workplace discrimination. This high level of awareness suggests that gender-related discussions have become increasingly visible in academic, social, and policy discourses within the Kerala context. It indicates that these students have been exposed to gender justice topics either through their coursework, fieldwork experiences, workshops, or media. The finding reflects the integration of gender discourse into the broader social work education framework, especially within institutions affiliated with MG University.</w:t>
      </w:r>
      <w:r w:rsidR="00991146">
        <w:t xml:space="preserve"> </w:t>
      </w:r>
      <w:r w:rsidR="00A73395">
        <w:t>However, awareness does not necessarily equate to critical analysis or transformative action, and this distinction is essential in evaluating competency.</w:t>
      </w:r>
    </w:p>
    <w:p w14:paraId="236AD015" w14:textId="4DDD8387" w:rsidR="00991146" w:rsidRPr="00335442" w:rsidRDefault="007400BF" w:rsidP="007400BF">
      <w:pPr>
        <w:pStyle w:val="ListParagraph"/>
        <w:numPr>
          <w:ilvl w:val="0"/>
          <w:numId w:val="17"/>
        </w:numPr>
        <w:tabs>
          <w:tab w:val="left" w:pos="3380"/>
        </w:tabs>
        <w:rPr>
          <w:b/>
          <w:bCs/>
        </w:rPr>
      </w:pPr>
      <w:r w:rsidRPr="00335442">
        <w:rPr>
          <w:b/>
          <w:bCs/>
        </w:rPr>
        <w:t>Gaps in Formal Training</w:t>
      </w:r>
    </w:p>
    <w:p w14:paraId="609667D2" w14:textId="05960D9C" w:rsidR="007400BF" w:rsidRDefault="006B1F63" w:rsidP="007400BF">
      <w:pPr>
        <w:pStyle w:val="ListParagraph"/>
        <w:tabs>
          <w:tab w:val="left" w:pos="3380"/>
        </w:tabs>
        <w:ind w:left="1080"/>
      </w:pPr>
      <w:r>
        <w:t xml:space="preserve">Although awareness levels are nearly universal, the study found that only 75% of the respondents had received formal training or education specifically related to addressing gender inequalities in their social work practice. This means that one in four students lacked structured, classroom-based exposure to gender-focused theories, laws, and methodologies. This gap raises concerns about the uniformity and inclusiveness of the curriculum across institutions. It also suggests that </w:t>
      </w:r>
      <w:r>
        <w:lastRenderedPageBreak/>
        <w:t>despite being in the final stage of their professional education, a notable segment of students may enter the field with limited formal grounding in gender-sensitive intervention strategies.</w:t>
      </w:r>
      <w:r w:rsidR="00A52866">
        <w:t xml:space="preserve"> This finding underscores the urgent need to revise and standardize the inclusion of gender education in MSW programs to ensure that all graduates are uniformly prepared.</w:t>
      </w:r>
    </w:p>
    <w:p w14:paraId="2E24CCC6" w14:textId="1B70CBC3" w:rsidR="00A52866" w:rsidRPr="00335442" w:rsidRDefault="00800563" w:rsidP="00800563">
      <w:pPr>
        <w:pStyle w:val="ListParagraph"/>
        <w:numPr>
          <w:ilvl w:val="0"/>
          <w:numId w:val="17"/>
        </w:numPr>
        <w:tabs>
          <w:tab w:val="left" w:pos="3380"/>
        </w:tabs>
        <w:rPr>
          <w:b/>
          <w:bCs/>
        </w:rPr>
      </w:pPr>
      <w:r w:rsidRPr="00335442">
        <w:rPr>
          <w:b/>
          <w:bCs/>
        </w:rPr>
        <w:t>Practical Implementation of Gender-Sensitive Approaches</w:t>
      </w:r>
    </w:p>
    <w:p w14:paraId="651D9F34" w14:textId="4D8E1B61" w:rsidR="002118A8" w:rsidRDefault="00EC7AA6" w:rsidP="00CC4879">
      <w:pPr>
        <w:pStyle w:val="ListParagraph"/>
        <w:tabs>
          <w:tab w:val="left" w:pos="3380"/>
        </w:tabs>
        <w:ind w:left="1080"/>
      </w:pPr>
      <w:r>
        <w:t>When asked about the use of gender-sensitive practices—such as tailoring communication styles, ensuring equitable resource distribution, or considering gender dynamics in client interactions—86% of the respondents reported actively applying such methods. While this is an encouraging majority, the remaining 14% who admitted not using these approaches point to a meaningful gap between theory and practice. Several factors could contribute to this discrepancy, including a lack of confidence, inadequate supervision, absence of role models, or limited opportunities in fieldwork to engage in such practices.</w:t>
      </w:r>
      <w:r w:rsidR="00C35D18">
        <w:t xml:space="preserve"> </w:t>
      </w:r>
      <w:r w:rsidR="00147AE6">
        <w:t>his highlights the importance of not just teaching gender theory but also creating practical, supported opportunities for students to develop and refine gender-sensitive skills in real-life settings</w:t>
      </w:r>
      <w:r w:rsidR="00335442">
        <w:t>.</w:t>
      </w:r>
    </w:p>
    <w:p w14:paraId="5E2C0DA2" w14:textId="77612DEE" w:rsidR="002118A8" w:rsidRPr="00335442" w:rsidRDefault="002118A8" w:rsidP="002118A8">
      <w:pPr>
        <w:pStyle w:val="ListParagraph"/>
        <w:numPr>
          <w:ilvl w:val="0"/>
          <w:numId w:val="17"/>
        </w:numPr>
        <w:tabs>
          <w:tab w:val="left" w:pos="3380"/>
        </w:tabs>
        <w:rPr>
          <w:b/>
          <w:bCs/>
        </w:rPr>
      </w:pPr>
      <w:r w:rsidRPr="00335442">
        <w:rPr>
          <w:b/>
          <w:bCs/>
        </w:rPr>
        <w:t>Professional Responsibility and Ethical Commitment</w:t>
      </w:r>
    </w:p>
    <w:p w14:paraId="5B13EB72" w14:textId="77777777" w:rsidR="002118A8" w:rsidRDefault="002118A8" w:rsidP="00800563">
      <w:pPr>
        <w:pStyle w:val="ListParagraph"/>
        <w:tabs>
          <w:tab w:val="left" w:pos="3380"/>
        </w:tabs>
        <w:ind w:left="1080"/>
      </w:pPr>
    </w:p>
    <w:p w14:paraId="6951BA48" w14:textId="37BE059A" w:rsidR="007E0E42" w:rsidRDefault="002118A8" w:rsidP="00CC4879">
      <w:pPr>
        <w:pStyle w:val="ListParagraph"/>
        <w:tabs>
          <w:tab w:val="left" w:pos="3380"/>
        </w:tabs>
        <w:ind w:left="1080"/>
      </w:pPr>
      <w:r>
        <w:t xml:space="preserve">One of the most compelling findings of the study is that 97% of the students expressed the belief that challenging gender stereotypes and biases is a professional responsibility for social workers. This widespread ethical conviction reflects a deep internalization of core social work values such as dignity, social justice, and anti-oppressive practice. It demonstrates that students are not only aware of gender issues but also feel a moral duty to confront and correct them in their interventions. </w:t>
      </w:r>
      <w:r w:rsidR="007E0E42">
        <w:t>This ethical clarity is a promising sign for the profession, as it suggests that emerging social workers are committed to contributing to systemic change. However, this conviction must be accompanied by institutional support, field-based mentorship, and practical tools to help students translate these beliefs into tangible actions.</w:t>
      </w:r>
    </w:p>
    <w:p w14:paraId="136BCC2A" w14:textId="77777777" w:rsidR="00CC4879" w:rsidRPr="00CE10A0" w:rsidRDefault="00CC4879" w:rsidP="00CC4879">
      <w:pPr>
        <w:pStyle w:val="ListParagraph"/>
        <w:tabs>
          <w:tab w:val="left" w:pos="3380"/>
        </w:tabs>
        <w:ind w:left="1080"/>
      </w:pPr>
    </w:p>
    <w:p w14:paraId="277E872D" w14:textId="3E134078" w:rsidR="007770C8" w:rsidRPr="00335442" w:rsidRDefault="007770C8" w:rsidP="007770C8">
      <w:pPr>
        <w:pStyle w:val="ListParagraph"/>
        <w:numPr>
          <w:ilvl w:val="0"/>
          <w:numId w:val="17"/>
        </w:numPr>
        <w:tabs>
          <w:tab w:val="left" w:pos="3380"/>
        </w:tabs>
        <w:rPr>
          <w:b/>
          <w:bCs/>
        </w:rPr>
      </w:pPr>
      <w:r w:rsidRPr="00335442">
        <w:rPr>
          <w:b/>
          <w:bCs/>
        </w:rPr>
        <w:t>Barriers to Practice</w:t>
      </w:r>
    </w:p>
    <w:p w14:paraId="3C14A3F0" w14:textId="77777777" w:rsidR="007770C8" w:rsidRDefault="007770C8" w:rsidP="00800563">
      <w:pPr>
        <w:pStyle w:val="ListParagraph"/>
        <w:tabs>
          <w:tab w:val="left" w:pos="3380"/>
        </w:tabs>
        <w:ind w:left="1080"/>
      </w:pPr>
    </w:p>
    <w:p w14:paraId="7EE1F8D0" w14:textId="3DB57B1E" w:rsidR="007770C8" w:rsidRDefault="007770C8" w:rsidP="00800563">
      <w:pPr>
        <w:pStyle w:val="ListParagraph"/>
        <w:tabs>
          <w:tab w:val="left" w:pos="3380"/>
        </w:tabs>
        <w:ind w:left="1080"/>
      </w:pPr>
      <w:r>
        <w:lastRenderedPageBreak/>
        <w:t>Despite the high levels of awareness, training, and ethical readiness, 97% of the respondents reported facing various challenges while trying to address gender-related issues in their field practice. These challenges ranged from a lack of institutional resources and inadequate field supervision to cultural resistance within communities. Students often encountered environments that were not supportive of gender equity work or found themselves under-equipped to handle the complexities of real-world gender-based violence. This indicates that even the most committed and informed social work students are limited by structural and cultural obstacles.</w:t>
      </w:r>
      <w:r w:rsidR="00FA724C">
        <w:t xml:space="preserve"> Without addressing these systemic barriers—through better training infrastructure, supportive field environments, and responsive institutional frameworks—students may struggle to apply their competencies effectively.</w:t>
      </w:r>
    </w:p>
    <w:p w14:paraId="350CAF47" w14:textId="77777777" w:rsidR="00FA724C" w:rsidRDefault="00FA724C" w:rsidP="00800563">
      <w:pPr>
        <w:pStyle w:val="ListParagraph"/>
        <w:tabs>
          <w:tab w:val="left" w:pos="3380"/>
        </w:tabs>
        <w:ind w:left="1080"/>
      </w:pPr>
    </w:p>
    <w:p w14:paraId="0F004411" w14:textId="77777777" w:rsidR="00A87C65" w:rsidRDefault="00A87C65" w:rsidP="00800563">
      <w:pPr>
        <w:pStyle w:val="ListParagraph"/>
        <w:tabs>
          <w:tab w:val="left" w:pos="3380"/>
        </w:tabs>
        <w:ind w:left="1080"/>
      </w:pPr>
    </w:p>
    <w:p w14:paraId="6BEE373F" w14:textId="77777777" w:rsidR="00A87C65" w:rsidRDefault="00A87C65" w:rsidP="00800563">
      <w:pPr>
        <w:pStyle w:val="ListParagraph"/>
        <w:tabs>
          <w:tab w:val="left" w:pos="3380"/>
        </w:tabs>
        <w:ind w:left="1080"/>
      </w:pPr>
    </w:p>
    <w:p w14:paraId="0A9B73EA" w14:textId="0A3DC975" w:rsidR="00A87C65" w:rsidRPr="0061454B" w:rsidRDefault="00A87C65" w:rsidP="00A87C65">
      <w:pPr>
        <w:pStyle w:val="ListParagraph"/>
        <w:numPr>
          <w:ilvl w:val="0"/>
          <w:numId w:val="17"/>
        </w:numPr>
        <w:tabs>
          <w:tab w:val="left" w:pos="3380"/>
        </w:tabs>
        <w:rPr>
          <w:b/>
          <w:bCs/>
        </w:rPr>
      </w:pPr>
      <w:r w:rsidRPr="0061454B">
        <w:rPr>
          <w:b/>
          <w:bCs/>
        </w:rPr>
        <w:t>Awareness and Confidence Regarding GBV</w:t>
      </w:r>
    </w:p>
    <w:p w14:paraId="08BA8B56" w14:textId="77777777" w:rsidR="00A87C65" w:rsidRPr="0061454B" w:rsidRDefault="00A87C65" w:rsidP="00800563">
      <w:pPr>
        <w:pStyle w:val="ListParagraph"/>
        <w:tabs>
          <w:tab w:val="left" w:pos="3380"/>
        </w:tabs>
        <w:ind w:left="1080"/>
        <w:rPr>
          <w:b/>
          <w:bCs/>
        </w:rPr>
      </w:pPr>
    </w:p>
    <w:p w14:paraId="778025F9" w14:textId="03321DA9" w:rsidR="00A87C65" w:rsidRDefault="00A87C65" w:rsidP="00800563">
      <w:pPr>
        <w:pStyle w:val="ListParagraph"/>
        <w:tabs>
          <w:tab w:val="left" w:pos="3380"/>
        </w:tabs>
        <w:ind w:left="1080"/>
      </w:pPr>
      <w:r>
        <w:t>Nearly all the participants (99%) indicated that they were aware of the various forms of gender-based violence (GBV) prevalent in their communities, including domestic abuse, sexual violence, emotional coercion, and economic control. Moreover, 96% of the respondents reported having received specialized training in identifying and responding to GBV cases. This training likely equipped them with essential skills such as trauma-informed care, safety planning, and referral practices. Additionally, 98% of the participants stated that they felt confident in their ability to support GBV survivors.</w:t>
      </w:r>
      <w:r w:rsidR="001D6539">
        <w:t xml:space="preserve"> These findings collectively indicate that the MSW training environment under MG University has made commendable efforts in preparing students for one of the most critical aspects of social work practice. However, further qualitative insights would be needed to assess the depth and sustainability of this confidence under real-world pressures.</w:t>
      </w:r>
    </w:p>
    <w:p w14:paraId="4014A1AA" w14:textId="77777777" w:rsidR="001D6539" w:rsidRPr="00CE10A0" w:rsidRDefault="001D6539" w:rsidP="00800563">
      <w:pPr>
        <w:pStyle w:val="ListParagraph"/>
        <w:tabs>
          <w:tab w:val="left" w:pos="3380"/>
        </w:tabs>
        <w:ind w:left="1080"/>
      </w:pPr>
    </w:p>
    <w:p w14:paraId="1D8BBFCF" w14:textId="4BD1533C" w:rsidR="00F31ECD" w:rsidRPr="0061454B" w:rsidRDefault="00F31ECD" w:rsidP="00F31ECD">
      <w:pPr>
        <w:pStyle w:val="ListParagraph"/>
        <w:numPr>
          <w:ilvl w:val="0"/>
          <w:numId w:val="17"/>
        </w:numPr>
        <w:tabs>
          <w:tab w:val="left" w:pos="3380"/>
        </w:tabs>
        <w:rPr>
          <w:b/>
          <w:bCs/>
        </w:rPr>
      </w:pPr>
      <w:r w:rsidRPr="0061454B">
        <w:rPr>
          <w:b/>
          <w:bCs/>
        </w:rPr>
        <w:t>Policy-Level Understanding of GBV</w:t>
      </w:r>
    </w:p>
    <w:p w14:paraId="154A36BA" w14:textId="77777777" w:rsidR="00F31ECD" w:rsidRDefault="00F31ECD" w:rsidP="00800563">
      <w:pPr>
        <w:pStyle w:val="ListParagraph"/>
        <w:tabs>
          <w:tab w:val="left" w:pos="3380"/>
        </w:tabs>
        <w:ind w:left="1080"/>
      </w:pPr>
    </w:p>
    <w:p w14:paraId="5B223ED5" w14:textId="0801EAE5" w:rsidR="00F31ECD" w:rsidRDefault="00F31ECD" w:rsidP="00800563">
      <w:pPr>
        <w:pStyle w:val="ListParagraph"/>
        <w:tabs>
          <w:tab w:val="left" w:pos="3380"/>
        </w:tabs>
        <w:ind w:left="1080"/>
      </w:pPr>
      <w:r>
        <w:t xml:space="preserve">An overwhelming 99% of the students agreed that GBV is not merely an individual or interpersonal issue but a systemic problem that demands policy-level </w:t>
      </w:r>
      <w:r>
        <w:lastRenderedPageBreak/>
        <w:t xml:space="preserve">intervention. This demonstrates a structural understanding of gender injustice—recognizing that societal norms, institutional practices, and legal systems often perpetuate or fail to prevent GBV. Such recognition is critical for future social workers, as it positions them not just as </w:t>
      </w:r>
      <w:proofErr w:type="spellStart"/>
      <w:r>
        <w:t>counselors</w:t>
      </w:r>
      <w:proofErr w:type="spellEnd"/>
      <w:r>
        <w:t xml:space="preserve"> or support providers but as potential advocates for policy change and institutional reform. It shows a strong alignment with global feminist perspectives and rights-based approaches to social work.</w:t>
      </w:r>
      <w:r w:rsidR="00835076">
        <w:t xml:space="preserve"> This insight supports the call for including policy advocacy and legislative literacy in the MSW curriculum, so students can confidently engage with institutional systems to promote broader social change.</w:t>
      </w:r>
    </w:p>
    <w:p w14:paraId="34E317C0" w14:textId="77777777" w:rsidR="005E47A8" w:rsidRDefault="005E47A8" w:rsidP="0015047F">
      <w:pPr>
        <w:tabs>
          <w:tab w:val="left" w:pos="3380"/>
        </w:tabs>
      </w:pPr>
    </w:p>
    <w:p w14:paraId="7BA6213C" w14:textId="77777777" w:rsidR="005E47A8" w:rsidRPr="00CE10A0" w:rsidRDefault="005E47A8" w:rsidP="00800563">
      <w:pPr>
        <w:pStyle w:val="ListParagraph"/>
        <w:tabs>
          <w:tab w:val="left" w:pos="3380"/>
        </w:tabs>
        <w:ind w:left="1080"/>
      </w:pPr>
    </w:p>
    <w:p w14:paraId="089A906B" w14:textId="6ED4F2A2" w:rsidR="005E47A8" w:rsidRPr="0061454B" w:rsidRDefault="005E47A8" w:rsidP="005E47A8">
      <w:pPr>
        <w:pStyle w:val="ListParagraph"/>
        <w:numPr>
          <w:ilvl w:val="0"/>
          <w:numId w:val="17"/>
        </w:numPr>
        <w:tabs>
          <w:tab w:val="left" w:pos="3380"/>
        </w:tabs>
        <w:rPr>
          <w:b/>
          <w:bCs/>
        </w:rPr>
      </w:pPr>
      <w:r w:rsidRPr="0061454B">
        <w:rPr>
          <w:b/>
          <w:bCs/>
        </w:rPr>
        <w:t>Limitations in Practice Readiness</w:t>
      </w:r>
    </w:p>
    <w:p w14:paraId="2CA2FE09" w14:textId="77777777" w:rsidR="005E47A8" w:rsidRDefault="005E47A8" w:rsidP="00800563">
      <w:pPr>
        <w:pStyle w:val="ListParagraph"/>
        <w:tabs>
          <w:tab w:val="left" w:pos="3380"/>
        </w:tabs>
        <w:ind w:left="1080"/>
      </w:pPr>
    </w:p>
    <w:p w14:paraId="03F87CB6" w14:textId="39ED2B19" w:rsidR="005E47A8" w:rsidRPr="00CE10A0" w:rsidRDefault="005E47A8" w:rsidP="00800563">
      <w:pPr>
        <w:pStyle w:val="ListParagraph"/>
        <w:tabs>
          <w:tab w:val="left" w:pos="3380"/>
        </w:tabs>
        <w:ind w:left="1080"/>
      </w:pPr>
      <w:r>
        <w:t>Although students showed strong theoretical understanding and expressed high confidence, many faced difficulties in translating this knowledge into practice. Key limitations included inadequate support during field placements, emotional strain from working with survivors of violence, poor coordination between universities and field agencies, and lack of interdisciplinary collaboration. These real-world constraints often left students feeling unprepared or overwhelmed when dealing with complex cases involving trauma, legal action, or community backlash. Additionally, some students reported ethical dilemmas such as navigating confidentiality in small communities or dealing with resistance from family members of survivors.</w:t>
      </w:r>
      <w:r w:rsidR="00852A1E">
        <w:t xml:space="preserve"> These findings suggest that while students are being trained to identify and understand gender injustice, more work is needed to strengthen their field readiness through structured mentorship, trauma-informed supervision, and interdisciplinary simulations.</w:t>
      </w:r>
    </w:p>
    <w:p w14:paraId="74322E2A" w14:textId="52AE3C80" w:rsidR="006805B0" w:rsidRDefault="006805B0" w:rsidP="00C776F0">
      <w:pPr>
        <w:tabs>
          <w:tab w:val="left" w:pos="3380"/>
        </w:tabs>
      </w:pPr>
    </w:p>
    <w:p w14:paraId="442209B4" w14:textId="77777777" w:rsidR="006805B0" w:rsidRDefault="006805B0" w:rsidP="00800563">
      <w:pPr>
        <w:pStyle w:val="ListParagraph"/>
        <w:tabs>
          <w:tab w:val="left" w:pos="3380"/>
        </w:tabs>
        <w:ind w:left="1080"/>
      </w:pPr>
      <w:r>
        <w:t xml:space="preserve">The findings of this study provide a comprehensive overview of the gender competencies of final-year Master of Social Work (MSW) students under Mahatma Gandhi University, Kerala. The results reveal a high level of awareness regarding gender-specific issues and gender-based violence (GBV), with the majority of students demonstrating both formal training and ethical commitment to promoting gender justice. The study also highlights encouraging trends in the </w:t>
      </w:r>
      <w:r>
        <w:lastRenderedPageBreak/>
        <w:t>application of gender-sensitive practices, as well as confidence in supporting survivors of GBV.</w:t>
      </w:r>
    </w:p>
    <w:p w14:paraId="68DB0F63" w14:textId="77777777" w:rsidR="006805B0" w:rsidRDefault="006805B0" w:rsidP="00800563">
      <w:pPr>
        <w:pStyle w:val="ListParagraph"/>
        <w:tabs>
          <w:tab w:val="left" w:pos="3380"/>
        </w:tabs>
        <w:ind w:left="1080"/>
      </w:pPr>
    </w:p>
    <w:p w14:paraId="3F84686A" w14:textId="77777777" w:rsidR="0061454B" w:rsidRDefault="006805B0" w:rsidP="00800563">
      <w:pPr>
        <w:pStyle w:val="ListParagraph"/>
        <w:tabs>
          <w:tab w:val="left" w:pos="3380"/>
        </w:tabs>
        <w:ind w:left="1080"/>
      </w:pPr>
      <w:r>
        <w:t xml:space="preserve">However, the data also expose significant gaps and challenges. Despite the promising levels of awareness and training, a portion of students still lack practical experience in implementing gender-sensitive interventions. A considerable number face structural and cultural barriers during their field placements, including inadequate institutional support, emotional strain, and limited </w:t>
      </w:r>
    </w:p>
    <w:p w14:paraId="4634B053" w14:textId="77777777" w:rsidR="0061454B" w:rsidRDefault="0061454B" w:rsidP="0015047F">
      <w:pPr>
        <w:tabs>
          <w:tab w:val="left" w:pos="3380"/>
        </w:tabs>
      </w:pPr>
    </w:p>
    <w:p w14:paraId="0B808030" w14:textId="77777777" w:rsidR="0061454B" w:rsidRDefault="0061454B" w:rsidP="00800563">
      <w:pPr>
        <w:pStyle w:val="ListParagraph"/>
        <w:tabs>
          <w:tab w:val="left" w:pos="3380"/>
        </w:tabs>
        <w:ind w:left="1080"/>
      </w:pPr>
    </w:p>
    <w:p w14:paraId="36EA305E" w14:textId="6E5D472D" w:rsidR="006805B0" w:rsidRDefault="006805B0" w:rsidP="00800563">
      <w:pPr>
        <w:pStyle w:val="ListParagraph"/>
        <w:tabs>
          <w:tab w:val="left" w:pos="3380"/>
        </w:tabs>
        <w:ind w:left="1080"/>
      </w:pPr>
      <w:r>
        <w:t>interdisciplinary collaboration. These challenges suggest that knowledge alone is not enough; students must also be equipped with practical tools, consistent mentorship, and real-world exposure to effectively address complex gender issues in the field.</w:t>
      </w:r>
    </w:p>
    <w:p w14:paraId="514E5319" w14:textId="77777777" w:rsidR="006805B0" w:rsidRDefault="006805B0" w:rsidP="00800563">
      <w:pPr>
        <w:pStyle w:val="ListParagraph"/>
        <w:tabs>
          <w:tab w:val="left" w:pos="3380"/>
        </w:tabs>
        <w:ind w:left="1080"/>
      </w:pPr>
    </w:p>
    <w:p w14:paraId="44D6D4D3" w14:textId="77777777" w:rsidR="006805B0" w:rsidRDefault="006805B0" w:rsidP="00800563">
      <w:pPr>
        <w:pStyle w:val="ListParagraph"/>
        <w:tabs>
          <w:tab w:val="left" w:pos="3380"/>
        </w:tabs>
        <w:ind w:left="1080"/>
      </w:pPr>
      <w:r>
        <w:t>Moreover, the near-universal recognition of GBV as a systemic issue requiring policy-level change reflects a mature and critical understanding among students, aligning well with global frameworks such as those promoted by UNESCO and the UN Sustainable Development Goals. Yet, translating this understanding into practice remains a developmental area within the current educational structure.</w:t>
      </w:r>
    </w:p>
    <w:p w14:paraId="00AF8E54" w14:textId="77777777" w:rsidR="006805B0" w:rsidRDefault="006805B0" w:rsidP="00800563">
      <w:pPr>
        <w:pStyle w:val="ListParagraph"/>
        <w:tabs>
          <w:tab w:val="left" w:pos="3380"/>
        </w:tabs>
        <w:ind w:left="1080"/>
      </w:pPr>
    </w:p>
    <w:p w14:paraId="00040EE5" w14:textId="742CAD79" w:rsidR="00634300" w:rsidRDefault="006805B0" w:rsidP="0015047F">
      <w:pPr>
        <w:pStyle w:val="ListParagraph"/>
        <w:tabs>
          <w:tab w:val="left" w:pos="3380"/>
        </w:tabs>
        <w:ind w:left="1080"/>
      </w:pPr>
      <w:r>
        <w:t>In summary, the findings of this chapter underline the urgent need to bridge the gap between gender theory and applied practice. Strengthening curriculum content, enhancing field supervision, and institutionalizing gender competence as a core component of professional social work education are essential next steps. By addressing these areas, social work institutions can ensure that their graduates are not only knowledgeable but also fully prepared to act as ethical, effective, and empowered advocates for gender equality.</w:t>
      </w:r>
    </w:p>
    <w:p w14:paraId="3C955D30" w14:textId="744233B5" w:rsidR="00634300" w:rsidRDefault="00634300" w:rsidP="0061454B">
      <w:pPr>
        <w:tabs>
          <w:tab w:val="left" w:pos="3380"/>
        </w:tabs>
      </w:pPr>
    </w:p>
    <w:p w14:paraId="23722AAB" w14:textId="77777777" w:rsidR="00634300" w:rsidRPr="00CE10A0" w:rsidRDefault="00634300" w:rsidP="00800563">
      <w:pPr>
        <w:pStyle w:val="ListParagraph"/>
        <w:tabs>
          <w:tab w:val="left" w:pos="3380"/>
        </w:tabs>
        <w:ind w:left="1080"/>
      </w:pPr>
    </w:p>
    <w:p w14:paraId="3C707E30" w14:textId="77777777" w:rsidR="00C04974" w:rsidRDefault="00C04974" w:rsidP="00800563">
      <w:pPr>
        <w:pStyle w:val="ListParagraph"/>
        <w:tabs>
          <w:tab w:val="left" w:pos="3380"/>
        </w:tabs>
        <w:ind w:left="1080"/>
        <w:rPr>
          <w:b/>
          <w:bCs/>
        </w:rPr>
      </w:pPr>
      <w:r w:rsidRPr="00C04974">
        <w:rPr>
          <w:b/>
          <w:bCs/>
        </w:rPr>
        <w:t>RECOMMENDATIONS</w:t>
      </w:r>
    </w:p>
    <w:p w14:paraId="4C1EF13F" w14:textId="77777777" w:rsidR="0061454B" w:rsidRPr="00C04974" w:rsidRDefault="0061454B" w:rsidP="00800563">
      <w:pPr>
        <w:pStyle w:val="ListParagraph"/>
        <w:tabs>
          <w:tab w:val="left" w:pos="3380"/>
        </w:tabs>
        <w:ind w:left="1080"/>
        <w:rPr>
          <w:b/>
          <w:bCs/>
        </w:rPr>
      </w:pPr>
    </w:p>
    <w:p w14:paraId="42A5D8D8" w14:textId="1E480F94" w:rsidR="00C04974" w:rsidRDefault="00C04974" w:rsidP="00800563">
      <w:pPr>
        <w:pStyle w:val="ListParagraph"/>
        <w:tabs>
          <w:tab w:val="left" w:pos="3380"/>
        </w:tabs>
        <w:ind w:left="1080"/>
      </w:pPr>
      <w:r>
        <w:t xml:space="preserve">The findings of this study highlight both the strengths and the existing gaps in the gender competencies of final-year Master of Social Work (MSW) students under </w:t>
      </w:r>
      <w:r>
        <w:lastRenderedPageBreak/>
        <w:t>MG University, Kerala. While there is widespread awareness and ethical commitment toward addressing gender-based violence (GBV) and inequality, the translation of knowledge into effective practice remains inconsistent. In response to these findings, the following recommendations are proposed to enhance the quality, relevance, and impact of social work education and training with regard to gender justice.</w:t>
      </w:r>
    </w:p>
    <w:p w14:paraId="52BCB2EE" w14:textId="77777777" w:rsidR="00C04974" w:rsidRPr="00CE10A0" w:rsidRDefault="00C04974" w:rsidP="00800563">
      <w:pPr>
        <w:pStyle w:val="ListParagraph"/>
        <w:tabs>
          <w:tab w:val="left" w:pos="3380"/>
        </w:tabs>
        <w:ind w:left="1080"/>
      </w:pPr>
    </w:p>
    <w:p w14:paraId="70C8167A" w14:textId="6D32BCDA" w:rsidR="008130BC" w:rsidRPr="005A5E95" w:rsidRDefault="008130BC" w:rsidP="008130BC">
      <w:pPr>
        <w:pStyle w:val="ListParagraph"/>
        <w:numPr>
          <w:ilvl w:val="0"/>
          <w:numId w:val="18"/>
        </w:numPr>
        <w:tabs>
          <w:tab w:val="left" w:pos="3380"/>
        </w:tabs>
        <w:rPr>
          <w:b/>
          <w:bCs/>
        </w:rPr>
      </w:pPr>
      <w:r w:rsidRPr="005A5E95">
        <w:rPr>
          <w:b/>
          <w:bCs/>
        </w:rPr>
        <w:t>Strengthen Curriculum Integration of Gender Studies</w:t>
      </w:r>
    </w:p>
    <w:p w14:paraId="471332BE" w14:textId="77777777" w:rsidR="008130BC" w:rsidRDefault="008130BC" w:rsidP="00800563">
      <w:pPr>
        <w:pStyle w:val="ListParagraph"/>
        <w:tabs>
          <w:tab w:val="left" w:pos="3380"/>
        </w:tabs>
        <w:ind w:left="1080"/>
      </w:pPr>
      <w:r>
        <w:t>There is a need to fully integrate comprehensive, theory-informed, and practice-oriented gender content into the core curriculum of MSW programs. Courses should go beyond introductory gender awareness to include:</w:t>
      </w:r>
    </w:p>
    <w:p w14:paraId="468E7692" w14:textId="77777777" w:rsidR="008130BC" w:rsidRDefault="008130BC" w:rsidP="00800563">
      <w:pPr>
        <w:pStyle w:val="ListParagraph"/>
        <w:tabs>
          <w:tab w:val="left" w:pos="3380"/>
        </w:tabs>
        <w:ind w:left="1080"/>
      </w:pPr>
    </w:p>
    <w:p w14:paraId="38AC0094" w14:textId="70641322" w:rsidR="008130BC" w:rsidRDefault="008130BC" w:rsidP="00C87B83">
      <w:pPr>
        <w:pStyle w:val="ListParagraph"/>
        <w:numPr>
          <w:ilvl w:val="0"/>
          <w:numId w:val="19"/>
        </w:numPr>
        <w:tabs>
          <w:tab w:val="left" w:pos="3380"/>
        </w:tabs>
      </w:pPr>
      <w:r>
        <w:t>Intersectionality, LGBTQIA+ issues, and digital gender-based violence.</w:t>
      </w:r>
    </w:p>
    <w:p w14:paraId="243E7F21" w14:textId="0C89F305" w:rsidR="008130BC" w:rsidRDefault="008130BC" w:rsidP="00C87B83">
      <w:pPr>
        <w:pStyle w:val="ListParagraph"/>
        <w:numPr>
          <w:ilvl w:val="0"/>
          <w:numId w:val="19"/>
        </w:numPr>
        <w:tabs>
          <w:tab w:val="left" w:pos="3380"/>
        </w:tabs>
      </w:pPr>
      <w:r>
        <w:t>Comparative legal frameworks (national/international).</w:t>
      </w:r>
    </w:p>
    <w:p w14:paraId="0C9FE577" w14:textId="77777777" w:rsidR="008130BC" w:rsidRDefault="008130BC" w:rsidP="00792B2C">
      <w:pPr>
        <w:pStyle w:val="ListParagraph"/>
        <w:numPr>
          <w:ilvl w:val="0"/>
          <w:numId w:val="19"/>
        </w:numPr>
        <w:tabs>
          <w:tab w:val="left" w:pos="3380"/>
        </w:tabs>
      </w:pPr>
      <w:r>
        <w:t>Case study-based learning modules on real-life gender injustices.</w:t>
      </w:r>
    </w:p>
    <w:p w14:paraId="69BE3832" w14:textId="77777777" w:rsidR="00C87B83" w:rsidRPr="00CE10A0" w:rsidRDefault="00C87B83" w:rsidP="00C87B83">
      <w:pPr>
        <w:pStyle w:val="ListParagraph"/>
        <w:tabs>
          <w:tab w:val="left" w:pos="3380"/>
        </w:tabs>
        <w:ind w:left="1800"/>
      </w:pPr>
    </w:p>
    <w:p w14:paraId="18C3E00A" w14:textId="777CC599" w:rsidR="006805B0" w:rsidRDefault="00792B2C" w:rsidP="00800563">
      <w:pPr>
        <w:pStyle w:val="ListParagraph"/>
        <w:tabs>
          <w:tab w:val="left" w:pos="3380"/>
        </w:tabs>
        <w:ind w:left="1080"/>
      </w:pPr>
      <w:r>
        <w:t>This integration should be mandatory across all specializations (CD, PSW, FCW) and evaluated through practical assignments, reflections, and participatory assessment models.</w:t>
      </w:r>
    </w:p>
    <w:p w14:paraId="4812497B" w14:textId="4ED6C06E" w:rsidR="00B539D4" w:rsidRPr="005A5E95" w:rsidRDefault="00B539D4" w:rsidP="00B539D4">
      <w:pPr>
        <w:pStyle w:val="ListParagraph"/>
        <w:numPr>
          <w:ilvl w:val="0"/>
          <w:numId w:val="18"/>
        </w:numPr>
        <w:tabs>
          <w:tab w:val="left" w:pos="3380"/>
        </w:tabs>
        <w:rPr>
          <w:b/>
          <w:bCs/>
        </w:rPr>
      </w:pPr>
      <w:r w:rsidRPr="005A5E95">
        <w:rPr>
          <w:b/>
          <w:bCs/>
        </w:rPr>
        <w:t>Expand and Enhance Fieldwork Training on GBV Response</w:t>
      </w:r>
    </w:p>
    <w:p w14:paraId="0099D013" w14:textId="77777777" w:rsidR="00B539D4" w:rsidRDefault="00B539D4" w:rsidP="00800563">
      <w:pPr>
        <w:pStyle w:val="ListParagraph"/>
        <w:tabs>
          <w:tab w:val="left" w:pos="3380"/>
        </w:tabs>
        <w:ind w:left="1080"/>
      </w:pPr>
      <w:r>
        <w:t>Fieldwork components must be closely aligned with gender justice goals. This can be achieved by:</w:t>
      </w:r>
    </w:p>
    <w:p w14:paraId="27D01AF5" w14:textId="77777777" w:rsidR="00B539D4" w:rsidRDefault="00B539D4" w:rsidP="00800563">
      <w:pPr>
        <w:pStyle w:val="ListParagraph"/>
        <w:tabs>
          <w:tab w:val="left" w:pos="3380"/>
        </w:tabs>
        <w:ind w:left="1080"/>
      </w:pPr>
    </w:p>
    <w:p w14:paraId="1F53A19D" w14:textId="08B6FC88" w:rsidR="00B539D4" w:rsidRDefault="00B539D4" w:rsidP="00B37580">
      <w:pPr>
        <w:pStyle w:val="ListParagraph"/>
        <w:numPr>
          <w:ilvl w:val="0"/>
          <w:numId w:val="20"/>
        </w:numPr>
        <w:tabs>
          <w:tab w:val="left" w:pos="3380"/>
        </w:tabs>
      </w:pPr>
      <w:r>
        <w:t>Partnering with women’s shelters, one-stop centers, legal aid clinics, and gender rights NGOs.</w:t>
      </w:r>
    </w:p>
    <w:p w14:paraId="666BD9D3" w14:textId="04F306F0" w:rsidR="00B539D4" w:rsidRDefault="00B539D4" w:rsidP="00B37580">
      <w:pPr>
        <w:pStyle w:val="ListParagraph"/>
        <w:numPr>
          <w:ilvl w:val="0"/>
          <w:numId w:val="20"/>
        </w:numPr>
        <w:tabs>
          <w:tab w:val="left" w:pos="3380"/>
        </w:tabs>
      </w:pPr>
      <w:r>
        <w:t>Including structured exposure to survivors’ support services.</w:t>
      </w:r>
    </w:p>
    <w:p w14:paraId="52907308" w14:textId="77777777" w:rsidR="00B539D4" w:rsidRDefault="00B539D4" w:rsidP="00B37580">
      <w:pPr>
        <w:tabs>
          <w:tab w:val="left" w:pos="3380"/>
        </w:tabs>
      </w:pPr>
    </w:p>
    <w:p w14:paraId="0A99CBA8" w14:textId="77777777" w:rsidR="00B539D4" w:rsidRDefault="00B539D4" w:rsidP="00B37580">
      <w:pPr>
        <w:pStyle w:val="ListParagraph"/>
        <w:numPr>
          <w:ilvl w:val="0"/>
          <w:numId w:val="20"/>
        </w:numPr>
        <w:tabs>
          <w:tab w:val="left" w:pos="3380"/>
        </w:tabs>
      </w:pPr>
      <w:r>
        <w:t>Conducting field simulations on crisis intervention, survivor-centered care, and community advocacy.</w:t>
      </w:r>
    </w:p>
    <w:p w14:paraId="4926A607" w14:textId="77777777" w:rsidR="00B539D4" w:rsidRDefault="00B539D4" w:rsidP="00800563">
      <w:pPr>
        <w:pStyle w:val="ListParagraph"/>
        <w:tabs>
          <w:tab w:val="left" w:pos="3380"/>
        </w:tabs>
        <w:ind w:left="1080"/>
      </w:pPr>
    </w:p>
    <w:p w14:paraId="6ABC24A5" w14:textId="77777777" w:rsidR="00B539D4" w:rsidRDefault="00B539D4" w:rsidP="00800563">
      <w:pPr>
        <w:pStyle w:val="ListParagraph"/>
        <w:tabs>
          <w:tab w:val="left" w:pos="3380"/>
        </w:tabs>
        <w:ind w:left="1080"/>
      </w:pPr>
      <w:r>
        <w:t>Universities should ensure that field supervisors are gender-sensitized and capable of guiding students through complex ethical dilemmas.</w:t>
      </w:r>
    </w:p>
    <w:p w14:paraId="51E8BB06" w14:textId="77777777" w:rsidR="00B37580" w:rsidRDefault="00B37580" w:rsidP="00800563">
      <w:pPr>
        <w:pStyle w:val="ListParagraph"/>
        <w:tabs>
          <w:tab w:val="left" w:pos="3380"/>
        </w:tabs>
        <w:ind w:left="1080"/>
      </w:pPr>
    </w:p>
    <w:p w14:paraId="22448E3F" w14:textId="77777777" w:rsidR="00B37580" w:rsidRPr="00CE10A0" w:rsidRDefault="00B37580" w:rsidP="00800563">
      <w:pPr>
        <w:pStyle w:val="ListParagraph"/>
        <w:tabs>
          <w:tab w:val="left" w:pos="3380"/>
        </w:tabs>
        <w:ind w:left="1080"/>
      </w:pPr>
    </w:p>
    <w:p w14:paraId="2360F040" w14:textId="0FA60852" w:rsidR="00061E20" w:rsidRPr="005A5E95" w:rsidRDefault="00061E20" w:rsidP="00061E20">
      <w:pPr>
        <w:pStyle w:val="ListParagraph"/>
        <w:numPr>
          <w:ilvl w:val="0"/>
          <w:numId w:val="18"/>
        </w:numPr>
        <w:tabs>
          <w:tab w:val="left" w:pos="3380"/>
        </w:tabs>
        <w:rPr>
          <w:b/>
          <w:bCs/>
        </w:rPr>
      </w:pPr>
      <w:r w:rsidRPr="005A5E95">
        <w:rPr>
          <w:b/>
          <w:bCs/>
        </w:rPr>
        <w:lastRenderedPageBreak/>
        <w:t>Build Capacity for Policy Advocacy and Systemic Engagement</w:t>
      </w:r>
    </w:p>
    <w:p w14:paraId="58ED7E52" w14:textId="77777777" w:rsidR="00061E20" w:rsidRDefault="00061E20" w:rsidP="00800563">
      <w:pPr>
        <w:pStyle w:val="ListParagraph"/>
        <w:tabs>
          <w:tab w:val="left" w:pos="3380"/>
        </w:tabs>
        <w:ind w:left="1080"/>
      </w:pPr>
      <w:r>
        <w:t>Social work students must be trained to think and act beyond casework. This involves:</w:t>
      </w:r>
    </w:p>
    <w:p w14:paraId="2A13FD09" w14:textId="77777777" w:rsidR="00061E20" w:rsidRDefault="00061E20" w:rsidP="00800563">
      <w:pPr>
        <w:pStyle w:val="ListParagraph"/>
        <w:tabs>
          <w:tab w:val="left" w:pos="3380"/>
        </w:tabs>
        <w:ind w:left="1080"/>
      </w:pPr>
    </w:p>
    <w:p w14:paraId="184EFAF8" w14:textId="2D6321BE" w:rsidR="00061E20" w:rsidRDefault="00061E20" w:rsidP="005374FD">
      <w:pPr>
        <w:pStyle w:val="ListParagraph"/>
        <w:numPr>
          <w:ilvl w:val="0"/>
          <w:numId w:val="21"/>
        </w:numPr>
        <w:tabs>
          <w:tab w:val="left" w:pos="3380"/>
        </w:tabs>
      </w:pPr>
      <w:r>
        <w:t>Incorporating policy analysis, human rights advocacy, and feminist political frameworks into teaching.</w:t>
      </w:r>
    </w:p>
    <w:p w14:paraId="4EEFB6B5" w14:textId="161469F2" w:rsidR="00061E20" w:rsidRDefault="00061E20" w:rsidP="005374FD">
      <w:pPr>
        <w:pStyle w:val="ListParagraph"/>
        <w:numPr>
          <w:ilvl w:val="0"/>
          <w:numId w:val="21"/>
        </w:numPr>
        <w:tabs>
          <w:tab w:val="left" w:pos="3380"/>
        </w:tabs>
      </w:pPr>
      <w:r>
        <w:t>Encouraging students to develop position papers, run campaigns, and participate in gender policy consultations.</w:t>
      </w:r>
    </w:p>
    <w:p w14:paraId="5D412BD2" w14:textId="77777777" w:rsidR="00061E20" w:rsidRDefault="00061E20" w:rsidP="005374FD">
      <w:pPr>
        <w:pStyle w:val="ListParagraph"/>
        <w:numPr>
          <w:ilvl w:val="0"/>
          <w:numId w:val="21"/>
        </w:numPr>
        <w:tabs>
          <w:tab w:val="left" w:pos="3380"/>
        </w:tabs>
      </w:pPr>
      <w:r>
        <w:t>Hosting lectures and collaborations with gender advocates, activists, and legal experts.</w:t>
      </w:r>
    </w:p>
    <w:p w14:paraId="283B10F9" w14:textId="77777777" w:rsidR="00061E20" w:rsidRDefault="00061E20" w:rsidP="00800563">
      <w:pPr>
        <w:pStyle w:val="ListParagraph"/>
        <w:tabs>
          <w:tab w:val="left" w:pos="3380"/>
        </w:tabs>
        <w:ind w:left="1080"/>
      </w:pPr>
    </w:p>
    <w:p w14:paraId="02B5B07E" w14:textId="167ACE6E" w:rsidR="005374FD" w:rsidRDefault="00061E20" w:rsidP="002A45E1">
      <w:pPr>
        <w:pStyle w:val="ListParagraph"/>
        <w:tabs>
          <w:tab w:val="left" w:pos="3380"/>
        </w:tabs>
        <w:ind w:left="1080"/>
      </w:pPr>
      <w:r>
        <w:t>This prepares students to be not only practitioners but also agents of structural and policy-level change.</w:t>
      </w:r>
    </w:p>
    <w:p w14:paraId="11381BED" w14:textId="77777777" w:rsidR="00517A6C" w:rsidRPr="00CE10A0" w:rsidRDefault="00517A6C" w:rsidP="00800563">
      <w:pPr>
        <w:pStyle w:val="ListParagraph"/>
        <w:tabs>
          <w:tab w:val="left" w:pos="3380"/>
        </w:tabs>
        <w:ind w:left="1080"/>
      </w:pPr>
    </w:p>
    <w:p w14:paraId="7D21F05E" w14:textId="255B5586" w:rsidR="00385393" w:rsidRPr="00C6229F" w:rsidRDefault="00385393" w:rsidP="00385393">
      <w:pPr>
        <w:pStyle w:val="ListParagraph"/>
        <w:numPr>
          <w:ilvl w:val="0"/>
          <w:numId w:val="18"/>
        </w:numPr>
        <w:tabs>
          <w:tab w:val="left" w:pos="3380"/>
        </w:tabs>
        <w:rPr>
          <w:b/>
          <w:bCs/>
        </w:rPr>
      </w:pPr>
      <w:r w:rsidRPr="00C6229F">
        <w:rPr>
          <w:b/>
          <w:bCs/>
        </w:rPr>
        <w:t>Promote Interdisciplinary and Multisectoral Collaboration</w:t>
      </w:r>
    </w:p>
    <w:p w14:paraId="58526DB3" w14:textId="161756AD" w:rsidR="00385393" w:rsidRDefault="00385393" w:rsidP="002A45E1">
      <w:pPr>
        <w:pStyle w:val="ListParagraph"/>
        <w:tabs>
          <w:tab w:val="left" w:pos="3380"/>
        </w:tabs>
        <w:ind w:left="1080"/>
      </w:pPr>
      <w:r>
        <w:t>To effectively address GBV and systemic gender inequality, students should be trained in collaborative, cross-disciplinary environments. Suggested strategies include:</w:t>
      </w:r>
    </w:p>
    <w:p w14:paraId="61E00C5D" w14:textId="37404CF9" w:rsidR="00385393" w:rsidRDefault="00385393" w:rsidP="0000036F">
      <w:pPr>
        <w:pStyle w:val="ListParagraph"/>
        <w:numPr>
          <w:ilvl w:val="0"/>
          <w:numId w:val="22"/>
        </w:numPr>
        <w:tabs>
          <w:tab w:val="left" w:pos="3380"/>
        </w:tabs>
      </w:pPr>
      <w:r>
        <w:t>Joint workshops and coursework with law, public health, education, and psychology students.</w:t>
      </w:r>
    </w:p>
    <w:p w14:paraId="2483B0E7" w14:textId="6B47A162" w:rsidR="00385393" w:rsidRDefault="00385393" w:rsidP="002A45E1">
      <w:pPr>
        <w:pStyle w:val="ListParagraph"/>
        <w:numPr>
          <w:ilvl w:val="0"/>
          <w:numId w:val="22"/>
        </w:numPr>
        <w:tabs>
          <w:tab w:val="left" w:pos="3380"/>
        </w:tabs>
      </w:pPr>
      <w:r>
        <w:t>Exposure to coordinated response mechanisms (e.g., between police, hospitals, NGOs).</w:t>
      </w:r>
    </w:p>
    <w:p w14:paraId="6B264570" w14:textId="77777777" w:rsidR="00385393" w:rsidRDefault="00385393" w:rsidP="0000036F">
      <w:pPr>
        <w:pStyle w:val="ListParagraph"/>
        <w:numPr>
          <w:ilvl w:val="0"/>
          <w:numId w:val="22"/>
        </w:numPr>
        <w:tabs>
          <w:tab w:val="left" w:pos="3380"/>
        </w:tabs>
      </w:pPr>
      <w:r>
        <w:t>Building teamwork skills for handling trauma, referral protocols, and survivor support.</w:t>
      </w:r>
    </w:p>
    <w:p w14:paraId="3642CA61" w14:textId="77777777" w:rsidR="00385393" w:rsidRDefault="00385393" w:rsidP="00800563">
      <w:pPr>
        <w:pStyle w:val="ListParagraph"/>
        <w:tabs>
          <w:tab w:val="left" w:pos="3380"/>
        </w:tabs>
        <w:ind w:left="1080"/>
      </w:pPr>
    </w:p>
    <w:p w14:paraId="3B5ACC45" w14:textId="77777777" w:rsidR="00385393" w:rsidRDefault="00385393" w:rsidP="00800563">
      <w:pPr>
        <w:pStyle w:val="ListParagraph"/>
        <w:tabs>
          <w:tab w:val="left" w:pos="3380"/>
        </w:tabs>
        <w:ind w:left="1080"/>
      </w:pPr>
      <w:r>
        <w:t>This will ensure students gain holistic perspectives and operational fluency in complex, real-world systems.</w:t>
      </w:r>
    </w:p>
    <w:p w14:paraId="506D08BB" w14:textId="6C288A2A" w:rsidR="007C35C0" w:rsidRPr="00C6229F" w:rsidRDefault="007C35C0" w:rsidP="007C35C0">
      <w:pPr>
        <w:pStyle w:val="ListParagraph"/>
        <w:numPr>
          <w:ilvl w:val="0"/>
          <w:numId w:val="18"/>
        </w:numPr>
        <w:tabs>
          <w:tab w:val="left" w:pos="3380"/>
        </w:tabs>
        <w:rPr>
          <w:b/>
          <w:bCs/>
        </w:rPr>
      </w:pPr>
      <w:r w:rsidRPr="00C6229F">
        <w:rPr>
          <w:b/>
          <w:bCs/>
        </w:rPr>
        <w:t>Improve Supervision, Mentorship, and Emotional Support</w:t>
      </w:r>
    </w:p>
    <w:p w14:paraId="01F4CFB8" w14:textId="77777777" w:rsidR="007C35C0" w:rsidRDefault="007C35C0" w:rsidP="00800563">
      <w:pPr>
        <w:pStyle w:val="ListParagraph"/>
        <w:tabs>
          <w:tab w:val="left" w:pos="3380"/>
        </w:tabs>
        <w:ind w:left="1080"/>
      </w:pPr>
      <w:r>
        <w:t>Given the emotionally intense nature of gender-based work, the following are recommended:</w:t>
      </w:r>
    </w:p>
    <w:p w14:paraId="27D17AE5" w14:textId="77777777" w:rsidR="007C35C0" w:rsidRDefault="007C35C0" w:rsidP="00800563">
      <w:pPr>
        <w:pStyle w:val="ListParagraph"/>
        <w:tabs>
          <w:tab w:val="left" w:pos="3380"/>
        </w:tabs>
        <w:ind w:left="1080"/>
      </w:pPr>
    </w:p>
    <w:p w14:paraId="69D31EF6" w14:textId="754F04A4" w:rsidR="007C35C0" w:rsidRDefault="007C35C0" w:rsidP="007C35C0">
      <w:pPr>
        <w:pStyle w:val="ListParagraph"/>
        <w:numPr>
          <w:ilvl w:val="0"/>
          <w:numId w:val="23"/>
        </w:numPr>
        <w:tabs>
          <w:tab w:val="left" w:pos="3380"/>
        </w:tabs>
      </w:pPr>
      <w:r>
        <w:t>Regular debriefing sessions, peer support groups, and trauma-informed supervision.</w:t>
      </w:r>
    </w:p>
    <w:p w14:paraId="370AFFD4" w14:textId="13CC9C94" w:rsidR="007C35C0" w:rsidRDefault="007C35C0" w:rsidP="007C35C0">
      <w:pPr>
        <w:pStyle w:val="ListParagraph"/>
        <w:numPr>
          <w:ilvl w:val="0"/>
          <w:numId w:val="23"/>
        </w:numPr>
        <w:tabs>
          <w:tab w:val="left" w:pos="3380"/>
        </w:tabs>
      </w:pPr>
      <w:r>
        <w:lastRenderedPageBreak/>
        <w:t>Training faculty and field mentors in providing psychosocial support to trainees.</w:t>
      </w:r>
    </w:p>
    <w:p w14:paraId="3C052934" w14:textId="77777777" w:rsidR="007C35C0" w:rsidRDefault="007C35C0" w:rsidP="007C35C0">
      <w:pPr>
        <w:pStyle w:val="ListParagraph"/>
        <w:numPr>
          <w:ilvl w:val="0"/>
          <w:numId w:val="23"/>
        </w:numPr>
        <w:tabs>
          <w:tab w:val="left" w:pos="3380"/>
        </w:tabs>
      </w:pPr>
      <w:r>
        <w:t>Including modules on emotional intelligence, resilience, and self-care.</w:t>
      </w:r>
    </w:p>
    <w:p w14:paraId="2D0A8AC8" w14:textId="77777777" w:rsidR="007C35C0" w:rsidRDefault="007C35C0" w:rsidP="00800563">
      <w:pPr>
        <w:pStyle w:val="ListParagraph"/>
        <w:tabs>
          <w:tab w:val="left" w:pos="3380"/>
        </w:tabs>
        <w:ind w:left="1080"/>
      </w:pPr>
    </w:p>
    <w:p w14:paraId="087ADACC" w14:textId="77777777" w:rsidR="007C35C0" w:rsidRPr="00CE10A0" w:rsidRDefault="007C35C0" w:rsidP="00800563">
      <w:pPr>
        <w:pStyle w:val="ListParagraph"/>
        <w:tabs>
          <w:tab w:val="left" w:pos="3380"/>
        </w:tabs>
        <w:ind w:left="1080"/>
      </w:pPr>
      <w:r>
        <w:t>Such support structures are vital for sustaining long-term engagement in gender justice fields.</w:t>
      </w:r>
    </w:p>
    <w:p w14:paraId="04C60EC8" w14:textId="2D8D58F0" w:rsidR="00307A63" w:rsidRPr="006C7243" w:rsidRDefault="00307A63" w:rsidP="00307A63">
      <w:pPr>
        <w:pStyle w:val="ListParagraph"/>
        <w:numPr>
          <w:ilvl w:val="0"/>
          <w:numId w:val="18"/>
        </w:numPr>
        <w:tabs>
          <w:tab w:val="left" w:pos="3380"/>
        </w:tabs>
        <w:rPr>
          <w:b/>
          <w:bCs/>
        </w:rPr>
      </w:pPr>
      <w:r w:rsidRPr="006C7243">
        <w:rPr>
          <w:b/>
          <w:bCs/>
        </w:rPr>
        <w:t>Adopt Competency-Based Evaluation Frameworks</w:t>
      </w:r>
    </w:p>
    <w:p w14:paraId="3D31C44E" w14:textId="77777777" w:rsidR="00307A63" w:rsidRDefault="00307A63" w:rsidP="00800563">
      <w:pPr>
        <w:pStyle w:val="ListParagraph"/>
        <w:tabs>
          <w:tab w:val="left" w:pos="3380"/>
        </w:tabs>
        <w:ind w:left="1080"/>
      </w:pPr>
      <w:r>
        <w:t>Instead of relying solely on traditional academic metrics, institutions should shift to competency-based assessments that evaluate:</w:t>
      </w:r>
    </w:p>
    <w:p w14:paraId="3944C046" w14:textId="77777777" w:rsidR="00307A63" w:rsidRDefault="00307A63" w:rsidP="00800563">
      <w:pPr>
        <w:pStyle w:val="ListParagraph"/>
        <w:tabs>
          <w:tab w:val="left" w:pos="3380"/>
        </w:tabs>
        <w:ind w:left="1080"/>
      </w:pPr>
    </w:p>
    <w:p w14:paraId="617BAC25" w14:textId="3180AA69" w:rsidR="00307A63" w:rsidRDefault="00307A63" w:rsidP="003E2651">
      <w:pPr>
        <w:pStyle w:val="ListParagraph"/>
        <w:numPr>
          <w:ilvl w:val="0"/>
          <w:numId w:val="24"/>
        </w:numPr>
        <w:tabs>
          <w:tab w:val="left" w:pos="3380"/>
        </w:tabs>
      </w:pPr>
      <w:r>
        <w:t>Application of knowledge in ethical dilemmas.</w:t>
      </w:r>
    </w:p>
    <w:p w14:paraId="57AF3AC4" w14:textId="27F0E5C3" w:rsidR="00307A63" w:rsidRDefault="00307A63" w:rsidP="003E2651">
      <w:pPr>
        <w:pStyle w:val="ListParagraph"/>
        <w:numPr>
          <w:ilvl w:val="0"/>
          <w:numId w:val="24"/>
        </w:numPr>
        <w:tabs>
          <w:tab w:val="left" w:pos="3380"/>
        </w:tabs>
      </w:pPr>
      <w:r>
        <w:t>Communication and counseling skills with survivors.</w:t>
      </w:r>
    </w:p>
    <w:p w14:paraId="786E620B" w14:textId="77777777" w:rsidR="00307A63" w:rsidRDefault="00307A63" w:rsidP="003E2651">
      <w:pPr>
        <w:pStyle w:val="ListParagraph"/>
        <w:numPr>
          <w:ilvl w:val="0"/>
          <w:numId w:val="24"/>
        </w:numPr>
        <w:tabs>
          <w:tab w:val="left" w:pos="3380"/>
        </w:tabs>
      </w:pPr>
      <w:r>
        <w:t>Ability to lead gender-sensitization workshops and campaigns.</w:t>
      </w:r>
    </w:p>
    <w:p w14:paraId="3DB42EF7" w14:textId="77777777" w:rsidR="00307A63" w:rsidRDefault="00307A63" w:rsidP="00800563">
      <w:pPr>
        <w:pStyle w:val="ListParagraph"/>
        <w:tabs>
          <w:tab w:val="left" w:pos="3380"/>
        </w:tabs>
        <w:ind w:left="1080"/>
      </w:pPr>
    </w:p>
    <w:p w14:paraId="447A9405" w14:textId="77777777" w:rsidR="00307A63" w:rsidRPr="00CE10A0" w:rsidRDefault="00307A63" w:rsidP="00800563">
      <w:pPr>
        <w:pStyle w:val="ListParagraph"/>
        <w:tabs>
          <w:tab w:val="left" w:pos="3380"/>
        </w:tabs>
        <w:ind w:left="1080"/>
      </w:pPr>
      <w:r>
        <w:t>Tools like reflective journals, simulated assessments, survivor-informed feedback, and portfolio reviews should be included in student evaluation.</w:t>
      </w:r>
    </w:p>
    <w:p w14:paraId="222DC49B" w14:textId="377E053C" w:rsidR="008B29B6" w:rsidRPr="006C7243" w:rsidRDefault="008B29B6" w:rsidP="008B29B6">
      <w:pPr>
        <w:pStyle w:val="ListParagraph"/>
        <w:numPr>
          <w:ilvl w:val="0"/>
          <w:numId w:val="18"/>
        </w:numPr>
        <w:tabs>
          <w:tab w:val="left" w:pos="3380"/>
        </w:tabs>
        <w:rPr>
          <w:b/>
          <w:bCs/>
        </w:rPr>
      </w:pPr>
      <w:r w:rsidRPr="006C7243">
        <w:rPr>
          <w:b/>
          <w:bCs/>
        </w:rPr>
        <w:t>Create a Gender Resource and Innovation Hub</w:t>
      </w:r>
    </w:p>
    <w:p w14:paraId="50DC3A23" w14:textId="77777777" w:rsidR="008B29B6" w:rsidRDefault="008B29B6" w:rsidP="00800563">
      <w:pPr>
        <w:pStyle w:val="ListParagraph"/>
        <w:tabs>
          <w:tab w:val="left" w:pos="3380"/>
        </w:tabs>
        <w:ind w:left="1080"/>
      </w:pPr>
      <w:r>
        <w:t>MG University and its affiliated colleges can consider developing a centralized Gender Resource Centre that:</w:t>
      </w:r>
    </w:p>
    <w:p w14:paraId="2BAF23A9" w14:textId="77777777" w:rsidR="008B29B6" w:rsidRDefault="008B29B6" w:rsidP="00800563">
      <w:pPr>
        <w:pStyle w:val="ListParagraph"/>
        <w:tabs>
          <w:tab w:val="left" w:pos="3380"/>
        </w:tabs>
        <w:ind w:left="1080"/>
      </w:pPr>
    </w:p>
    <w:p w14:paraId="596BBE6C" w14:textId="304D5BC4" w:rsidR="008B29B6" w:rsidRDefault="008B29B6" w:rsidP="00391C3B">
      <w:pPr>
        <w:pStyle w:val="ListParagraph"/>
        <w:numPr>
          <w:ilvl w:val="0"/>
          <w:numId w:val="25"/>
        </w:numPr>
        <w:tabs>
          <w:tab w:val="left" w:pos="3380"/>
        </w:tabs>
      </w:pPr>
      <w:r>
        <w:t>Houses research, tools, and best practices on gender mainstreaming.</w:t>
      </w:r>
    </w:p>
    <w:p w14:paraId="4B6AA88D" w14:textId="2FE0DBE6" w:rsidR="008B29B6" w:rsidRDefault="008B29B6" w:rsidP="00391C3B">
      <w:pPr>
        <w:pStyle w:val="ListParagraph"/>
        <w:numPr>
          <w:ilvl w:val="0"/>
          <w:numId w:val="25"/>
        </w:numPr>
        <w:tabs>
          <w:tab w:val="left" w:pos="3380"/>
        </w:tabs>
      </w:pPr>
      <w:r>
        <w:t>Supports student-led innovations in GBV prevention.</w:t>
      </w:r>
    </w:p>
    <w:p w14:paraId="55D100F6" w14:textId="77777777" w:rsidR="008B29B6" w:rsidRDefault="008B29B6" w:rsidP="008B29B6">
      <w:pPr>
        <w:pStyle w:val="ListParagraph"/>
        <w:numPr>
          <w:ilvl w:val="0"/>
          <w:numId w:val="25"/>
        </w:numPr>
        <w:tabs>
          <w:tab w:val="left" w:pos="3380"/>
        </w:tabs>
      </w:pPr>
      <w:r>
        <w:t>Offers year-round training, internships, and career guidance in gender-focused fields.</w:t>
      </w:r>
    </w:p>
    <w:p w14:paraId="4E1ED21B" w14:textId="77777777" w:rsidR="008B29B6" w:rsidRDefault="008B29B6" w:rsidP="00800563">
      <w:pPr>
        <w:pStyle w:val="ListParagraph"/>
        <w:tabs>
          <w:tab w:val="left" w:pos="3380"/>
        </w:tabs>
        <w:ind w:left="1080"/>
      </w:pPr>
    </w:p>
    <w:p w14:paraId="0F6F2F80" w14:textId="77777777" w:rsidR="008B29B6" w:rsidRPr="00CE10A0" w:rsidRDefault="008B29B6" w:rsidP="00800563">
      <w:pPr>
        <w:pStyle w:val="ListParagraph"/>
        <w:tabs>
          <w:tab w:val="left" w:pos="3380"/>
        </w:tabs>
        <w:ind w:left="1080"/>
      </w:pPr>
      <w:r>
        <w:t>This would institutionalize gender knowledge and make it accessible to both students and practitioners.</w:t>
      </w:r>
    </w:p>
    <w:p w14:paraId="36101291" w14:textId="77777777" w:rsidR="00C87B83" w:rsidRDefault="00C87B83" w:rsidP="00800563">
      <w:pPr>
        <w:pStyle w:val="ListParagraph"/>
        <w:tabs>
          <w:tab w:val="left" w:pos="3380"/>
        </w:tabs>
        <w:ind w:left="1080"/>
      </w:pPr>
    </w:p>
    <w:p w14:paraId="7AFB68FF" w14:textId="77777777" w:rsidR="00391C3B" w:rsidRDefault="00391C3B" w:rsidP="00800563">
      <w:pPr>
        <w:pStyle w:val="ListParagraph"/>
        <w:tabs>
          <w:tab w:val="left" w:pos="3380"/>
        </w:tabs>
        <w:ind w:left="1080"/>
      </w:pPr>
    </w:p>
    <w:p w14:paraId="584C030C" w14:textId="3D794F73" w:rsidR="00391C3B" w:rsidRDefault="009F273E" w:rsidP="00800563">
      <w:pPr>
        <w:pStyle w:val="ListParagraph"/>
        <w:tabs>
          <w:tab w:val="left" w:pos="3380"/>
        </w:tabs>
        <w:ind w:left="1080"/>
      </w:pPr>
      <w:r>
        <w:t xml:space="preserve">The above recommendations are rooted in the understanding that achieving gender justice in social work requires a multidimensional, ethical, and experiential approach to education. As this study has shown, students possess the willingness and ethical orientation to challenge inequality, but they require deeper institutional support, experiential learning, and systemic engagement </w:t>
      </w:r>
      <w:r>
        <w:lastRenderedPageBreak/>
        <w:t>opportunities. By adopting these strategies, MG University and similar institutions can develop a generation of social workers who are not only competent but transformational in the fight against gender-based violence and systemic discrimination.</w:t>
      </w:r>
    </w:p>
    <w:p w14:paraId="1563F582" w14:textId="77777777" w:rsidR="004C03B2" w:rsidRDefault="004C03B2" w:rsidP="00800563">
      <w:pPr>
        <w:pStyle w:val="ListParagraph"/>
        <w:tabs>
          <w:tab w:val="left" w:pos="3380"/>
        </w:tabs>
        <w:ind w:left="1080"/>
      </w:pPr>
    </w:p>
    <w:p w14:paraId="2EF91BA2" w14:textId="77777777" w:rsidR="009F273E" w:rsidRDefault="009F273E" w:rsidP="00800563">
      <w:pPr>
        <w:pStyle w:val="ListParagraph"/>
        <w:tabs>
          <w:tab w:val="left" w:pos="3380"/>
        </w:tabs>
        <w:ind w:left="1080"/>
      </w:pPr>
    </w:p>
    <w:p w14:paraId="62B61302" w14:textId="2E078AED" w:rsidR="00EB2742" w:rsidRDefault="00601BF8" w:rsidP="00B3083C">
      <w:pPr>
        <w:pStyle w:val="ListParagraph"/>
        <w:tabs>
          <w:tab w:val="left" w:pos="3380"/>
        </w:tabs>
        <w:ind w:left="1080"/>
      </w:pPr>
      <w:r w:rsidRPr="00601BF8">
        <w:rPr>
          <w:b/>
          <w:bCs/>
        </w:rPr>
        <w:t>IMPLICATIONS FOR PROFESSIONAL SOCIAL WORK PRACTICE</w:t>
      </w:r>
    </w:p>
    <w:p w14:paraId="7E04167B" w14:textId="77777777" w:rsidR="00EB2742" w:rsidRDefault="00EB2742" w:rsidP="00800563">
      <w:pPr>
        <w:pStyle w:val="ListParagraph"/>
        <w:tabs>
          <w:tab w:val="left" w:pos="3380"/>
        </w:tabs>
        <w:ind w:left="1080"/>
      </w:pPr>
    </w:p>
    <w:p w14:paraId="7DDF55F4" w14:textId="77777777" w:rsidR="00EB2742" w:rsidRDefault="00EB2742" w:rsidP="00800563">
      <w:pPr>
        <w:pStyle w:val="ListParagraph"/>
        <w:tabs>
          <w:tab w:val="left" w:pos="3380"/>
        </w:tabs>
        <w:ind w:left="1080"/>
      </w:pPr>
      <w:r>
        <w:t>As agents of social change, professional social workers play a pivotal role in addressing the deep-rooted issues of gender inequality and gender-based violence (GBV) within diverse communities. Their effectiveness in this role, however, depends significantly on the gender competencies they acquire during their academic and field-based training. The present study, which assessed the gender competencies of final-year MSW students under Mahatma Gandhi University, Kerala, highlights both the strengths and the gaps in preparing future professionals for this critical responsibility. While the findings reveal a promising level of awareness, ethical commitment, and confidence in addressing GBV, they also uncover considerable challenges in the practical application of these competencies—ranging from inadequate institutional support to limited exposure to interdisciplinary collaboration.</w:t>
      </w:r>
    </w:p>
    <w:p w14:paraId="7BF179C8" w14:textId="77777777" w:rsidR="00EB2742" w:rsidRDefault="00EB2742" w:rsidP="00800563">
      <w:pPr>
        <w:pStyle w:val="ListParagraph"/>
        <w:tabs>
          <w:tab w:val="left" w:pos="3380"/>
        </w:tabs>
        <w:ind w:left="1080"/>
      </w:pPr>
    </w:p>
    <w:p w14:paraId="79D9EF81" w14:textId="3DAB85F4" w:rsidR="00EB2742" w:rsidRDefault="00EB2742" w:rsidP="00800563">
      <w:pPr>
        <w:pStyle w:val="ListParagraph"/>
        <w:tabs>
          <w:tab w:val="left" w:pos="3380"/>
        </w:tabs>
        <w:ind w:left="1080"/>
      </w:pPr>
      <w:r>
        <w:t xml:space="preserve"> it becomes essential to explore how the insights gained from the study can be translated into actionable changes within professional social work practice. This section outlines the key implications that emerge from the research, emphasizing the need for a more integrated, intersectional, and practice-oriented approach to gender justice in social work. The aim is to bridge the gap between academic learning and real-world demands, ensuring that social workers are not only knowledgeable but also well-equipped to advocate for gender equity, support survivors, and challenge structural oppression in their professional settings. These implications are especially relevant for educators, policymakers, field practitioners, and institutions committed to advancing social justice through a gender-responsive lens.</w:t>
      </w:r>
    </w:p>
    <w:p w14:paraId="06F553AD" w14:textId="77777777" w:rsidR="00211CC0" w:rsidRDefault="00211CC0" w:rsidP="00800563">
      <w:pPr>
        <w:pStyle w:val="ListParagraph"/>
        <w:tabs>
          <w:tab w:val="left" w:pos="3380"/>
        </w:tabs>
        <w:ind w:left="1080"/>
      </w:pPr>
    </w:p>
    <w:p w14:paraId="21D49DDD" w14:textId="77777777" w:rsidR="004C03B2" w:rsidRDefault="00211CC0" w:rsidP="00317B5E">
      <w:pPr>
        <w:pStyle w:val="ListParagraph"/>
        <w:numPr>
          <w:ilvl w:val="0"/>
          <w:numId w:val="26"/>
        </w:numPr>
        <w:tabs>
          <w:tab w:val="left" w:pos="3380"/>
        </w:tabs>
      </w:pPr>
      <w:r w:rsidRPr="00466EFF">
        <w:rPr>
          <w:b/>
          <w:bCs/>
        </w:rPr>
        <w:t>Strengthening Gender-Focused Curriculum and Field Training</w:t>
      </w:r>
      <w:r w:rsidR="00466EFF">
        <w:t xml:space="preserve"> </w:t>
      </w:r>
    </w:p>
    <w:p w14:paraId="76CC279A" w14:textId="1118424C" w:rsidR="004C03B2" w:rsidRDefault="004C03B2" w:rsidP="004C03B2">
      <w:pPr>
        <w:pStyle w:val="ListParagraph"/>
        <w:tabs>
          <w:tab w:val="left" w:pos="3380"/>
        </w:tabs>
      </w:pPr>
    </w:p>
    <w:p w14:paraId="6A50A651" w14:textId="134154FB" w:rsidR="009F273E" w:rsidRDefault="004C03B2" w:rsidP="004C03B2">
      <w:pPr>
        <w:pStyle w:val="ListParagraph"/>
        <w:tabs>
          <w:tab w:val="left" w:pos="3380"/>
        </w:tabs>
      </w:pPr>
      <w:r>
        <w:t xml:space="preserve">                        </w:t>
      </w:r>
      <w:r w:rsidR="005D55B9">
        <w:t>One of the key implications is the urgent need to reinforce gender-focused content in both academic and field components of social work education. Although the study shows that most students are aware of gender issues and GBV, gaps in formal training and application highlight the necessity for a standardized, comprehensive gender curriculum across all MSW programs. Field placements must be restructured to ensure that students are not only exposed to GBV cases but are guided through structured, trauma-informed, and ethically supervised interventions. Professional practice should incorporate continued education, reflective sessions, and training modules that simulate real-life GBV scenarios to build applied confidence.</w:t>
      </w:r>
    </w:p>
    <w:p w14:paraId="26CBD18D" w14:textId="77777777" w:rsidR="005C0741" w:rsidRDefault="005C0741" w:rsidP="004C03B2">
      <w:pPr>
        <w:pStyle w:val="ListParagraph"/>
        <w:tabs>
          <w:tab w:val="left" w:pos="3380"/>
        </w:tabs>
      </w:pPr>
    </w:p>
    <w:p w14:paraId="5CEFA2A9" w14:textId="77777777" w:rsidR="005C0741" w:rsidRPr="005C0741" w:rsidRDefault="0034207C" w:rsidP="00317B5E">
      <w:pPr>
        <w:pStyle w:val="ListParagraph"/>
        <w:numPr>
          <w:ilvl w:val="0"/>
          <w:numId w:val="26"/>
        </w:numPr>
        <w:tabs>
          <w:tab w:val="left" w:pos="3380"/>
        </w:tabs>
      </w:pPr>
      <w:r w:rsidRPr="00364D3B">
        <w:rPr>
          <w:b/>
          <w:bCs/>
        </w:rPr>
        <w:t xml:space="preserve">Institutionalizing Gender Competency as Core to Ethical Social Work </w:t>
      </w:r>
    </w:p>
    <w:p w14:paraId="5648FE1C" w14:textId="38894422" w:rsidR="005D55B9" w:rsidRDefault="005C0741" w:rsidP="005C0741">
      <w:pPr>
        <w:pStyle w:val="ListParagraph"/>
        <w:tabs>
          <w:tab w:val="left" w:pos="3380"/>
        </w:tabs>
      </w:pPr>
      <w:r>
        <w:rPr>
          <w:b/>
          <w:bCs/>
        </w:rPr>
        <w:t xml:space="preserve">                         </w:t>
      </w:r>
      <w:r w:rsidR="00742641">
        <w:t>Social workers have a professional and ethical duty to challenge discriminatory norms, respond effectively to survivors, and advocate for systemic change. The research reinforces that gender competency must be recognized as a core requirement in professional standards and licensing criteria. Institutions such as social work councils, field agencies, and employers should mandate gender competency assessments as part of recruitment, induction, and performance evaluation processes. These competencies should include knowledge of gender laws, crisis intervention skills, inclusive communication, and the ability to navigate institutional barriers.</w:t>
      </w:r>
    </w:p>
    <w:p w14:paraId="74FA8F7A" w14:textId="77777777" w:rsidR="005C0741" w:rsidRDefault="005C0741" w:rsidP="005C0741">
      <w:pPr>
        <w:pStyle w:val="ListParagraph"/>
        <w:tabs>
          <w:tab w:val="left" w:pos="3380"/>
        </w:tabs>
      </w:pPr>
    </w:p>
    <w:p w14:paraId="0F8E2DD9" w14:textId="77777777" w:rsidR="005C0741" w:rsidRPr="005C0741" w:rsidRDefault="0065211A" w:rsidP="00317B5E">
      <w:pPr>
        <w:pStyle w:val="ListParagraph"/>
        <w:numPr>
          <w:ilvl w:val="0"/>
          <w:numId w:val="26"/>
        </w:numPr>
        <w:tabs>
          <w:tab w:val="left" w:pos="3380"/>
        </w:tabs>
      </w:pPr>
      <w:r w:rsidRPr="007D605A">
        <w:rPr>
          <w:b/>
          <w:bCs/>
        </w:rPr>
        <w:t>Developing Interdisciplinary and Multisectoral Practice Models</w:t>
      </w:r>
      <w:r w:rsidR="007D605A">
        <w:rPr>
          <w:b/>
          <w:bCs/>
        </w:rPr>
        <w:t xml:space="preserve"> </w:t>
      </w:r>
    </w:p>
    <w:p w14:paraId="50DC077F" w14:textId="77777777" w:rsidR="005C0741" w:rsidRDefault="005C0741" w:rsidP="005C0741">
      <w:pPr>
        <w:pStyle w:val="ListParagraph"/>
        <w:tabs>
          <w:tab w:val="left" w:pos="3380"/>
        </w:tabs>
      </w:pPr>
      <w:r>
        <w:t xml:space="preserve">                           </w:t>
      </w:r>
    </w:p>
    <w:p w14:paraId="65BEEC9C" w14:textId="17C88C43" w:rsidR="00742641" w:rsidRDefault="005C0741" w:rsidP="005C0741">
      <w:pPr>
        <w:pStyle w:val="ListParagraph"/>
        <w:tabs>
          <w:tab w:val="left" w:pos="3380"/>
        </w:tabs>
      </w:pPr>
      <w:r>
        <w:t xml:space="preserve">                                    </w:t>
      </w:r>
      <w:r w:rsidR="00444732">
        <w:t>Effective GBV intervention often requires collaboration with legal, medical, psychological, and law enforcement systems. The study reveals that students struggle with interdisciplinary work, highlighting a broader issue in practice. Therefore, there is a need to develop models of practice where social workers actively engage with multisectoral partners. This can include participation in multi-agency teams, interdepartmental coordination training, and building referral networks. Institutions should also promote integrated service delivery models that allow social workers to work alongside other professionals to deliver holistic and survivor-centered support.</w:t>
      </w:r>
    </w:p>
    <w:p w14:paraId="03150FAE" w14:textId="77777777" w:rsidR="005C0741" w:rsidRDefault="005C0741" w:rsidP="005C0741">
      <w:pPr>
        <w:pStyle w:val="ListParagraph"/>
        <w:tabs>
          <w:tab w:val="left" w:pos="3380"/>
        </w:tabs>
      </w:pPr>
    </w:p>
    <w:p w14:paraId="5FCD22AC" w14:textId="77777777" w:rsidR="005C0741" w:rsidRDefault="00B41F2C" w:rsidP="00317B5E">
      <w:pPr>
        <w:pStyle w:val="ListParagraph"/>
        <w:numPr>
          <w:ilvl w:val="0"/>
          <w:numId w:val="26"/>
        </w:numPr>
        <w:tabs>
          <w:tab w:val="left" w:pos="3380"/>
        </w:tabs>
      </w:pPr>
      <w:r w:rsidRPr="001E5775">
        <w:rPr>
          <w:b/>
          <w:bCs/>
        </w:rPr>
        <w:t>Advancing Policy Advocacy and Systems-Level Engagement</w:t>
      </w:r>
      <w:r w:rsidR="001E5775">
        <w:t xml:space="preserve"> </w:t>
      </w:r>
    </w:p>
    <w:p w14:paraId="27E69794" w14:textId="77777777" w:rsidR="005C0741" w:rsidRDefault="005C0741" w:rsidP="005C0741">
      <w:pPr>
        <w:pStyle w:val="ListParagraph"/>
        <w:tabs>
          <w:tab w:val="left" w:pos="3380"/>
        </w:tabs>
      </w:pPr>
    </w:p>
    <w:p w14:paraId="06799938" w14:textId="650CBF49" w:rsidR="00444732" w:rsidRDefault="005C0741" w:rsidP="005C0741">
      <w:pPr>
        <w:pStyle w:val="ListParagraph"/>
        <w:tabs>
          <w:tab w:val="left" w:pos="3380"/>
        </w:tabs>
      </w:pPr>
      <w:r>
        <w:t xml:space="preserve">                                    </w:t>
      </w:r>
      <w:r w:rsidR="00512B63">
        <w:t>Nearly all participants in the study acknowledged the systemic nature of GBV and the need for policy interventions. This presents a strong case for enhancing the policy literacy and advocacy skills of future social workers. Professional social work practice must expand beyond individual counseling to include participation in legislative processes, community mobilization, and awareness campaigns. Practitioners should be equipped to critique policies, draft recommendations, and mobilize communities for gender-transformative change.</w:t>
      </w:r>
    </w:p>
    <w:p w14:paraId="4043801B" w14:textId="77777777" w:rsidR="005C0741" w:rsidRDefault="005C0741" w:rsidP="005C0741">
      <w:pPr>
        <w:pStyle w:val="ListParagraph"/>
        <w:tabs>
          <w:tab w:val="left" w:pos="3380"/>
        </w:tabs>
      </w:pPr>
    </w:p>
    <w:p w14:paraId="3BA6EFE9" w14:textId="77777777" w:rsidR="005C0741" w:rsidRDefault="006272BE" w:rsidP="00317B5E">
      <w:pPr>
        <w:pStyle w:val="ListParagraph"/>
        <w:numPr>
          <w:ilvl w:val="0"/>
          <w:numId w:val="26"/>
        </w:numPr>
        <w:tabs>
          <w:tab w:val="left" w:pos="3380"/>
        </w:tabs>
      </w:pPr>
      <w:r w:rsidRPr="006272BE">
        <w:rPr>
          <w:rFonts w:eastAsia="Times New Roman"/>
          <w:b/>
          <w:bCs/>
        </w:rPr>
        <w:t>Addressing Structural and Emotional Barriers in Practice</w:t>
      </w:r>
      <w:r>
        <w:t xml:space="preserve"> </w:t>
      </w:r>
    </w:p>
    <w:p w14:paraId="1A1D4E3F" w14:textId="77777777" w:rsidR="005C0741" w:rsidRDefault="005C0741" w:rsidP="005C0741">
      <w:pPr>
        <w:pStyle w:val="ListParagraph"/>
        <w:tabs>
          <w:tab w:val="left" w:pos="3380"/>
        </w:tabs>
      </w:pPr>
      <w:r>
        <w:t xml:space="preserve">     </w:t>
      </w:r>
    </w:p>
    <w:p w14:paraId="034D94AE" w14:textId="33C86D20" w:rsidR="00512B63" w:rsidRDefault="005C0741" w:rsidP="005C0741">
      <w:pPr>
        <w:pStyle w:val="ListParagraph"/>
        <w:tabs>
          <w:tab w:val="left" w:pos="3380"/>
        </w:tabs>
      </w:pPr>
      <w:r>
        <w:t xml:space="preserve">                                  </w:t>
      </w:r>
      <w:r w:rsidR="00651524">
        <w:t>The study also highlights the practical challenges students face in the field—including cultural resistance, limited resources, emotional burden, and inadequate mentorship. For practicing professionals, these barriers persist. Thus, institutions must embed ongoing support systems such as clinical supervision, peer support groups, and access to psychological services for practitioners. Professional social work practice should emphasize resilience-building, emotional intelligence, and self-care as necessary components of long-term engagement in gender justice work.</w:t>
      </w:r>
    </w:p>
    <w:p w14:paraId="030FEA94" w14:textId="77777777" w:rsidR="005C0741" w:rsidRDefault="005C0741" w:rsidP="005C0741">
      <w:pPr>
        <w:pStyle w:val="ListParagraph"/>
        <w:tabs>
          <w:tab w:val="left" w:pos="3380"/>
        </w:tabs>
      </w:pPr>
    </w:p>
    <w:p w14:paraId="68830977" w14:textId="77777777" w:rsidR="005C0741" w:rsidRDefault="005C0741" w:rsidP="005C0741">
      <w:pPr>
        <w:pStyle w:val="ListParagraph"/>
        <w:tabs>
          <w:tab w:val="left" w:pos="3380"/>
        </w:tabs>
      </w:pPr>
    </w:p>
    <w:p w14:paraId="07D87B27" w14:textId="77777777" w:rsidR="005C0741" w:rsidRDefault="005C0741" w:rsidP="005C0741">
      <w:pPr>
        <w:pStyle w:val="ListParagraph"/>
        <w:tabs>
          <w:tab w:val="left" w:pos="3380"/>
        </w:tabs>
      </w:pPr>
    </w:p>
    <w:p w14:paraId="7317B46E" w14:textId="77777777" w:rsidR="005C0741" w:rsidRDefault="005C0741" w:rsidP="005C0741">
      <w:pPr>
        <w:pStyle w:val="ListParagraph"/>
        <w:tabs>
          <w:tab w:val="left" w:pos="3380"/>
        </w:tabs>
      </w:pPr>
    </w:p>
    <w:p w14:paraId="3F1DDD05" w14:textId="77777777" w:rsidR="005C0741" w:rsidRDefault="005C0741" w:rsidP="0015047F">
      <w:pPr>
        <w:tabs>
          <w:tab w:val="left" w:pos="3380"/>
        </w:tabs>
      </w:pPr>
    </w:p>
    <w:p w14:paraId="6E35D99A" w14:textId="77777777" w:rsidR="005C0741" w:rsidRDefault="005C0741" w:rsidP="005C0741">
      <w:pPr>
        <w:pStyle w:val="ListParagraph"/>
        <w:tabs>
          <w:tab w:val="left" w:pos="3380"/>
        </w:tabs>
      </w:pPr>
    </w:p>
    <w:p w14:paraId="7EADDA0F" w14:textId="77777777" w:rsidR="005C0741" w:rsidRDefault="005C0741" w:rsidP="005C0741">
      <w:pPr>
        <w:pStyle w:val="ListParagraph"/>
        <w:tabs>
          <w:tab w:val="left" w:pos="3380"/>
        </w:tabs>
      </w:pPr>
    </w:p>
    <w:p w14:paraId="61B90F93" w14:textId="77777777" w:rsidR="005C0741" w:rsidRDefault="00D253C6" w:rsidP="00317B5E">
      <w:pPr>
        <w:pStyle w:val="ListParagraph"/>
        <w:numPr>
          <w:ilvl w:val="0"/>
          <w:numId w:val="26"/>
        </w:numPr>
        <w:tabs>
          <w:tab w:val="left" w:pos="3380"/>
        </w:tabs>
      </w:pPr>
      <w:r w:rsidRPr="00640D45">
        <w:rPr>
          <w:rFonts w:eastAsia="Times New Roman"/>
          <w:b/>
          <w:bCs/>
        </w:rPr>
        <w:t>Promoting Inclusive and Intersectional Practice</w:t>
      </w:r>
      <w:r w:rsidR="00640D45">
        <w:t xml:space="preserve"> </w:t>
      </w:r>
    </w:p>
    <w:p w14:paraId="15BCB9F5" w14:textId="77777777" w:rsidR="005C0741" w:rsidRDefault="005C0741" w:rsidP="005C0741">
      <w:pPr>
        <w:tabs>
          <w:tab w:val="left" w:pos="3380"/>
        </w:tabs>
      </w:pPr>
    </w:p>
    <w:p w14:paraId="6B26B2DA" w14:textId="780D9CAC" w:rsidR="00651524" w:rsidRDefault="005C0741" w:rsidP="005C0741">
      <w:pPr>
        <w:pStyle w:val="ListParagraph"/>
        <w:tabs>
          <w:tab w:val="left" w:pos="3380"/>
        </w:tabs>
      </w:pPr>
      <w:r>
        <w:t xml:space="preserve">                         </w:t>
      </w:r>
      <w:r w:rsidR="00640D45">
        <w:t>T</w:t>
      </w:r>
      <w:r w:rsidR="00E53745">
        <w:t>he study reveals limited awareness or depth of understanding around intersectionality—the ways gender intersects with caste, class, sexuality, disability, and religion. Professional social workers must be trained to adopt intersectional approaches that account for the layered vulnerabilities of diverse populations. Practice must be inclusive and affirming of LGBTQ+ individuals, tribal communities, and those with intersecting marginalized identities. Inclusive practice must move beyond tokenism to systemic inclusion in program design, delivery, and evaluation.</w:t>
      </w:r>
    </w:p>
    <w:p w14:paraId="4A2E42E5" w14:textId="77777777" w:rsidR="00E53745" w:rsidRDefault="00E53745" w:rsidP="00E53745">
      <w:pPr>
        <w:pStyle w:val="ListParagraph"/>
        <w:tabs>
          <w:tab w:val="left" w:pos="3380"/>
        </w:tabs>
      </w:pPr>
    </w:p>
    <w:p w14:paraId="33259C8C" w14:textId="77777777" w:rsidR="005C0741" w:rsidRDefault="005C0741" w:rsidP="00E53745">
      <w:pPr>
        <w:pStyle w:val="ListParagraph"/>
        <w:tabs>
          <w:tab w:val="left" w:pos="3380"/>
        </w:tabs>
      </w:pPr>
    </w:p>
    <w:p w14:paraId="4DA878AC" w14:textId="77777777" w:rsidR="005C0741" w:rsidRDefault="005C0741" w:rsidP="00E53745">
      <w:pPr>
        <w:pStyle w:val="ListParagraph"/>
        <w:tabs>
          <w:tab w:val="left" w:pos="3380"/>
        </w:tabs>
      </w:pPr>
    </w:p>
    <w:p w14:paraId="203C62F5" w14:textId="5BDAFA60" w:rsidR="00E53745" w:rsidRDefault="00E53745" w:rsidP="00E53745">
      <w:pPr>
        <w:pStyle w:val="ListParagraph"/>
        <w:tabs>
          <w:tab w:val="left" w:pos="3380"/>
        </w:tabs>
      </w:pPr>
      <w:r>
        <w:t xml:space="preserve">     </w:t>
      </w:r>
      <w:r w:rsidR="00DE15DE">
        <w:t>The research calls for a transformation in how professional social work practice in Kerala and similar contexts approaches gender. Moving from awareness to action requires systemic investment in education, institutional support, interdisciplinary collaboration, and advocacy. Only by embedding gender competencies at the heart of professional social work can the field truly respond to the urgent demands of justice, equity, and dignity for all.</w:t>
      </w:r>
    </w:p>
    <w:p w14:paraId="50A2FB10" w14:textId="77777777" w:rsidR="00DE15DE" w:rsidRDefault="00DE15DE" w:rsidP="00E53745">
      <w:pPr>
        <w:pStyle w:val="ListParagraph"/>
        <w:tabs>
          <w:tab w:val="left" w:pos="3380"/>
        </w:tabs>
      </w:pPr>
    </w:p>
    <w:p w14:paraId="100F78DF" w14:textId="77777777" w:rsidR="00640D45" w:rsidRDefault="00640D45" w:rsidP="00E53745">
      <w:pPr>
        <w:pStyle w:val="ListParagraph"/>
        <w:tabs>
          <w:tab w:val="left" w:pos="3380"/>
        </w:tabs>
      </w:pPr>
    </w:p>
    <w:p w14:paraId="25C85CCF" w14:textId="77777777" w:rsidR="00C02EAA" w:rsidRDefault="00C02EAA" w:rsidP="00E53745">
      <w:pPr>
        <w:pStyle w:val="ListParagraph"/>
        <w:tabs>
          <w:tab w:val="left" w:pos="3380"/>
        </w:tabs>
      </w:pPr>
    </w:p>
    <w:p w14:paraId="35E780BB" w14:textId="77777777" w:rsidR="00C02EAA" w:rsidRDefault="00C02EAA" w:rsidP="00E53745">
      <w:pPr>
        <w:pStyle w:val="ListParagraph"/>
        <w:tabs>
          <w:tab w:val="left" w:pos="3380"/>
        </w:tabs>
      </w:pPr>
    </w:p>
    <w:p w14:paraId="4441B90B" w14:textId="77777777" w:rsidR="00C02EAA" w:rsidRDefault="00C02EAA" w:rsidP="00E53745">
      <w:pPr>
        <w:pStyle w:val="ListParagraph"/>
        <w:tabs>
          <w:tab w:val="left" w:pos="3380"/>
        </w:tabs>
      </w:pPr>
    </w:p>
    <w:p w14:paraId="47631F4F" w14:textId="77777777" w:rsidR="0015047F" w:rsidRDefault="0015047F" w:rsidP="00E53745">
      <w:pPr>
        <w:pStyle w:val="ListParagraph"/>
        <w:tabs>
          <w:tab w:val="left" w:pos="3380"/>
        </w:tabs>
      </w:pPr>
    </w:p>
    <w:p w14:paraId="7B87C8ED" w14:textId="77777777" w:rsidR="0015047F" w:rsidRDefault="0015047F" w:rsidP="00E53745">
      <w:pPr>
        <w:pStyle w:val="ListParagraph"/>
        <w:tabs>
          <w:tab w:val="left" w:pos="3380"/>
        </w:tabs>
      </w:pPr>
    </w:p>
    <w:p w14:paraId="24942C23" w14:textId="77777777" w:rsidR="0015047F" w:rsidRDefault="0015047F" w:rsidP="00E53745">
      <w:pPr>
        <w:pStyle w:val="ListParagraph"/>
        <w:tabs>
          <w:tab w:val="left" w:pos="3380"/>
        </w:tabs>
      </w:pPr>
    </w:p>
    <w:p w14:paraId="0DCD2327" w14:textId="77777777" w:rsidR="0015047F" w:rsidRDefault="0015047F" w:rsidP="00E53745">
      <w:pPr>
        <w:pStyle w:val="ListParagraph"/>
        <w:tabs>
          <w:tab w:val="left" w:pos="3380"/>
        </w:tabs>
      </w:pPr>
    </w:p>
    <w:p w14:paraId="1A14C6F7" w14:textId="77777777" w:rsidR="0015047F" w:rsidRDefault="0015047F" w:rsidP="00E53745">
      <w:pPr>
        <w:pStyle w:val="ListParagraph"/>
        <w:tabs>
          <w:tab w:val="left" w:pos="3380"/>
        </w:tabs>
      </w:pPr>
    </w:p>
    <w:p w14:paraId="6AD6B0E0" w14:textId="77777777" w:rsidR="0015047F" w:rsidRDefault="0015047F" w:rsidP="00E53745">
      <w:pPr>
        <w:pStyle w:val="ListParagraph"/>
        <w:tabs>
          <w:tab w:val="left" w:pos="3380"/>
        </w:tabs>
      </w:pPr>
    </w:p>
    <w:p w14:paraId="165EC496" w14:textId="77777777" w:rsidR="0015047F" w:rsidRDefault="0015047F" w:rsidP="00E53745">
      <w:pPr>
        <w:pStyle w:val="ListParagraph"/>
        <w:tabs>
          <w:tab w:val="left" w:pos="3380"/>
        </w:tabs>
      </w:pPr>
    </w:p>
    <w:p w14:paraId="3C269425" w14:textId="77777777" w:rsidR="00C02EAA" w:rsidRDefault="00C02EAA" w:rsidP="00E53745">
      <w:pPr>
        <w:pStyle w:val="ListParagraph"/>
        <w:tabs>
          <w:tab w:val="left" w:pos="3380"/>
        </w:tabs>
      </w:pPr>
    </w:p>
    <w:p w14:paraId="7ECBD420" w14:textId="2147563C" w:rsidR="004F76C0" w:rsidRPr="00C53342" w:rsidRDefault="004F76C0" w:rsidP="00C53342">
      <w:pPr>
        <w:pStyle w:val="ListParagraph"/>
        <w:tabs>
          <w:tab w:val="left" w:pos="3380"/>
        </w:tabs>
        <w:rPr>
          <w:b/>
          <w:bCs/>
        </w:rPr>
      </w:pPr>
      <w:r w:rsidRPr="00C53342">
        <w:rPr>
          <w:b/>
          <w:bCs/>
        </w:rPr>
        <w:t>CCONCLUSION</w:t>
      </w:r>
    </w:p>
    <w:p w14:paraId="6C95C2DD" w14:textId="77777777" w:rsidR="004F76C0" w:rsidRDefault="004F76C0" w:rsidP="00E53745">
      <w:pPr>
        <w:pStyle w:val="ListParagraph"/>
        <w:tabs>
          <w:tab w:val="left" w:pos="3380"/>
        </w:tabs>
      </w:pPr>
    </w:p>
    <w:p w14:paraId="486196FD" w14:textId="6196B8FF" w:rsidR="004F76C0" w:rsidRDefault="004F76C0" w:rsidP="00E53745">
      <w:pPr>
        <w:pStyle w:val="ListParagraph"/>
        <w:tabs>
          <w:tab w:val="left" w:pos="3380"/>
        </w:tabs>
      </w:pPr>
      <w:r>
        <w:t>This research set out to critically examine the gender competencies</w:t>
      </w:r>
      <w:r w:rsidR="00C53342">
        <w:t xml:space="preserve"> </w:t>
      </w:r>
      <w:r>
        <w:t xml:space="preserve">comprising knowledge, skills, and practice readiness—of final-year Master of Social Work (MSW) students affiliated with Mahatma Gandhi (MG) University, Kerala, with a focus on their ability to </w:t>
      </w:r>
      <w:proofErr w:type="gramStart"/>
      <w:r>
        <w:t xml:space="preserve">address </w:t>
      </w:r>
      <w:r w:rsidR="00C53342">
        <w:t xml:space="preserve"> </w:t>
      </w:r>
      <w:r>
        <w:t>gender</w:t>
      </w:r>
      <w:proofErr w:type="gramEnd"/>
      <w:r>
        <w:t>-based violence (GBV)</w:t>
      </w:r>
      <w:r w:rsidR="00C53342">
        <w:t xml:space="preserve"> </w:t>
      </w:r>
      <w:r>
        <w:t>and promote gender equality in real-world practice. Conducted within the unique socio-political landscape of Kerala—where high human development indicators coexist with persistent gender-based disparities—this study sought to evaluate how well-equipped future social workers are to intervene effectively and ethically in complex gendered realities.</w:t>
      </w:r>
    </w:p>
    <w:p w14:paraId="62EA47BE" w14:textId="77777777" w:rsidR="004F76C0" w:rsidRDefault="004F76C0" w:rsidP="00E53745">
      <w:pPr>
        <w:pStyle w:val="ListParagraph"/>
        <w:tabs>
          <w:tab w:val="left" w:pos="3380"/>
        </w:tabs>
      </w:pPr>
    </w:p>
    <w:p w14:paraId="50CF2A13" w14:textId="71CAA9A9" w:rsidR="004F76C0" w:rsidRDefault="004F76C0" w:rsidP="00E53745">
      <w:pPr>
        <w:pStyle w:val="ListParagraph"/>
        <w:tabs>
          <w:tab w:val="left" w:pos="3380"/>
        </w:tabs>
      </w:pPr>
      <w:r>
        <w:lastRenderedPageBreak/>
        <w:t>The findings reveal several encouraging trends. There is a remarkably high level of gender awareness</w:t>
      </w:r>
      <w:r w:rsidR="00644B73">
        <w:t xml:space="preserve"> </w:t>
      </w:r>
      <w:r>
        <w:t xml:space="preserve">among the student cohort, with nearly all participants demonstrating an understanding of systemic gender challenges such as domestic violence, unequal access to opportunities, and institutional discrimination. A majority of students reported having received formal training in gender-sensitive approaches, and many expressed </w:t>
      </w:r>
      <w:proofErr w:type="gramStart"/>
      <w:r>
        <w:t>confidence</w:t>
      </w:r>
      <w:proofErr w:type="gramEnd"/>
      <w:r>
        <w:t xml:space="preserve"> in supporting GBV survivors</w:t>
      </w:r>
      <w:r w:rsidR="00A566E6">
        <w:t xml:space="preserve"> </w:t>
      </w:r>
      <w:r>
        <w:t>through mechanisms like safety planning, trauma-informed counseling, and community education. Furthermore, a near-universal agreement emerged on the professional responsibility of social workers to challenge gender stereotypes, reinforcing the ethical commitment of these future practitioners.</w:t>
      </w:r>
    </w:p>
    <w:p w14:paraId="368E03E1" w14:textId="77777777" w:rsidR="004F76C0" w:rsidRDefault="004F76C0" w:rsidP="00E53745">
      <w:pPr>
        <w:pStyle w:val="ListParagraph"/>
        <w:tabs>
          <w:tab w:val="left" w:pos="3380"/>
        </w:tabs>
      </w:pPr>
    </w:p>
    <w:p w14:paraId="01379493" w14:textId="7AB701C7" w:rsidR="004F76C0" w:rsidRDefault="004F76C0" w:rsidP="00E53745">
      <w:pPr>
        <w:pStyle w:val="ListParagraph"/>
        <w:tabs>
          <w:tab w:val="left" w:pos="3380"/>
        </w:tabs>
      </w:pPr>
      <w:r>
        <w:t>However, the study also surfaces critical disconnects between awareness and application. Notably, 25% of students lacked formal training in addressing gender inequality, and 14% admitted to not actively using gender-sensitive approaches in practice, despite possessing basic knowledge. This signals a concerning gap between theoretical understanding and consistent implementation, especially in high-pressure, emotionally complex field settings. Moreover, 97% of students reported facing substantial challenges in fieldwork, including cultural resistance, inadequate institutional support, logistical constraints, emotional exhaustion, and a lack of interdisciplinary collaboration.</w:t>
      </w:r>
    </w:p>
    <w:p w14:paraId="4C4B89F8" w14:textId="77777777" w:rsidR="004F76C0" w:rsidRDefault="004F76C0" w:rsidP="00E53745">
      <w:pPr>
        <w:pStyle w:val="ListParagraph"/>
        <w:tabs>
          <w:tab w:val="left" w:pos="3380"/>
        </w:tabs>
      </w:pPr>
    </w:p>
    <w:p w14:paraId="08F8BC46" w14:textId="1D56661B" w:rsidR="004F76C0" w:rsidRDefault="004F76C0" w:rsidP="00E53745">
      <w:pPr>
        <w:pStyle w:val="ListParagraph"/>
        <w:tabs>
          <w:tab w:val="left" w:pos="3380"/>
        </w:tabs>
      </w:pPr>
      <w:r>
        <w:t xml:space="preserve">These challenges are not merely anecdotal—they point </w:t>
      </w:r>
      <w:proofErr w:type="gramStart"/>
      <w:r>
        <w:t xml:space="preserve">to </w:t>
      </w:r>
      <w:r w:rsidR="00465A8F">
        <w:t xml:space="preserve"> </w:t>
      </w:r>
      <w:r>
        <w:t>structural</w:t>
      </w:r>
      <w:proofErr w:type="gramEnd"/>
      <w:r>
        <w:t xml:space="preserve"> and pedagogical weaknesses</w:t>
      </w:r>
      <w:r w:rsidR="00FE07A6">
        <w:t xml:space="preserve"> </w:t>
      </w:r>
      <w:r>
        <w:t>in the existing social work education system. Field placements, though central to MSW training, are often undermined by unclear objectives, poor supervision, and weak university-NGO linkages, leaving students vulnerable to burnout, ethical dilemmas, and ineffective engagement. The study also reveals a deficiency in macro-level training, with many students acknowledging GBV as a systemic issue yet lacking the skills, opportunities, or confidence to engage in policy advocacy, legal reform, or institutional change. Furthermore, there is limited exposure to emerging concerns</w:t>
      </w:r>
      <w:r w:rsidR="00686BEF">
        <w:t xml:space="preserve"> </w:t>
      </w:r>
      <w:r>
        <w:t>such as digital forms of violence, gender non-conformity, and intersectional discrimination, indicating the need for curricular modernization.</w:t>
      </w:r>
    </w:p>
    <w:p w14:paraId="495B8BD1" w14:textId="77777777" w:rsidR="004F76C0" w:rsidRDefault="004F76C0" w:rsidP="00E53745">
      <w:pPr>
        <w:pStyle w:val="ListParagraph"/>
        <w:tabs>
          <w:tab w:val="left" w:pos="3380"/>
        </w:tabs>
      </w:pPr>
    </w:p>
    <w:p w14:paraId="580FA837" w14:textId="29837A31" w:rsidR="004F76C0" w:rsidRDefault="004F76C0" w:rsidP="00E53745">
      <w:pPr>
        <w:pStyle w:val="ListParagraph"/>
        <w:tabs>
          <w:tab w:val="left" w:pos="3380"/>
        </w:tabs>
      </w:pPr>
      <w:r>
        <w:lastRenderedPageBreak/>
        <w:t>Based on these insights, the study underscores the urgent need for a comprehensive overhaul of how gender competencies are taught, practiced, and assessed within social work programs. Key recommendations include:</w:t>
      </w:r>
    </w:p>
    <w:p w14:paraId="6BB53745" w14:textId="77777777" w:rsidR="004F76C0" w:rsidRDefault="004F76C0" w:rsidP="00E53745">
      <w:pPr>
        <w:pStyle w:val="ListParagraph"/>
        <w:tabs>
          <w:tab w:val="left" w:pos="3380"/>
        </w:tabs>
      </w:pPr>
    </w:p>
    <w:p w14:paraId="2216447C" w14:textId="0E057867" w:rsidR="004F76C0" w:rsidRDefault="004F76C0" w:rsidP="00E53745">
      <w:pPr>
        <w:pStyle w:val="ListParagraph"/>
        <w:tabs>
          <w:tab w:val="left" w:pos="3380"/>
        </w:tabs>
      </w:pPr>
      <w:r>
        <w:t>Strengthening fieldwork structures through improved supervision, better alignment between academic and field objectives, and partnerships with agencies that model best practices in gender justice work.</w:t>
      </w:r>
    </w:p>
    <w:p w14:paraId="4B4E0A9C" w14:textId="603AFE8C" w:rsidR="004F76C0" w:rsidRDefault="004F76C0" w:rsidP="00E53745">
      <w:pPr>
        <w:pStyle w:val="ListParagraph"/>
        <w:tabs>
          <w:tab w:val="left" w:pos="3380"/>
        </w:tabs>
      </w:pPr>
      <w:r>
        <w:t>Integrating trauma-informed care modules</w:t>
      </w:r>
      <w:r w:rsidR="00686BEF">
        <w:t xml:space="preserve"> </w:t>
      </w:r>
      <w:r>
        <w:t>to prepare students emotionally and ethically for the realities of GBV intervention.</w:t>
      </w:r>
    </w:p>
    <w:p w14:paraId="0BF9DA0B" w14:textId="6483E2B9" w:rsidR="004F76C0" w:rsidRDefault="004F76C0" w:rsidP="00E53745">
      <w:pPr>
        <w:pStyle w:val="ListParagraph"/>
        <w:tabs>
          <w:tab w:val="left" w:pos="3380"/>
        </w:tabs>
      </w:pPr>
      <w:r>
        <w:t>Institutionalizing interdisciplinary collaboration, ensuring students learn to work alongside legal professionals, healthcare providers, psychologists, and grassroots activists.</w:t>
      </w:r>
    </w:p>
    <w:p w14:paraId="0B2E8388" w14:textId="216A5D33" w:rsidR="004F76C0" w:rsidRDefault="004F76C0" w:rsidP="00E53745">
      <w:pPr>
        <w:pStyle w:val="ListParagraph"/>
        <w:tabs>
          <w:tab w:val="left" w:pos="3380"/>
        </w:tabs>
      </w:pPr>
      <w:r>
        <w:t>Embedding advocacy and policy engagement training into the curriculum, preparing students to participate meaningfully in systemic reforms and public discourse.</w:t>
      </w:r>
    </w:p>
    <w:p w14:paraId="1278C057" w14:textId="299C80AC" w:rsidR="004F76C0" w:rsidRDefault="004F76C0" w:rsidP="00E53745">
      <w:pPr>
        <w:pStyle w:val="ListParagraph"/>
        <w:tabs>
          <w:tab w:val="left" w:pos="3380"/>
        </w:tabs>
      </w:pPr>
      <w:r>
        <w:t>Developing competency-based assessment tools that evaluate not only academic performance but also ethical decision-making, communication skills, and applied knowledge in real-world contexts.</w:t>
      </w:r>
    </w:p>
    <w:p w14:paraId="3D778B78" w14:textId="77777777" w:rsidR="004F76C0" w:rsidRDefault="004F76C0" w:rsidP="00E53745">
      <w:pPr>
        <w:pStyle w:val="ListParagraph"/>
        <w:tabs>
          <w:tab w:val="left" w:pos="3380"/>
        </w:tabs>
      </w:pPr>
    </w:p>
    <w:p w14:paraId="2E2E4779" w14:textId="0017287F" w:rsidR="004F76C0" w:rsidRDefault="004F76C0" w:rsidP="00E53745">
      <w:pPr>
        <w:pStyle w:val="ListParagraph"/>
        <w:tabs>
          <w:tab w:val="left" w:pos="3380"/>
        </w:tabs>
      </w:pPr>
      <w:r>
        <w:t>In conclusion, this study affirms that final-year MSW students under MG University possess the foundational awareness and ethical orientation needed to contribute meaningfully to gender justice. However, realizing their full potential requires strategic investment in academic innovation, field mentorship, and institutional reform. Social work education must evolve from passive content delivery to active competency-building, preparing students not only to recognize injustice but to lead the charge against it.</w:t>
      </w:r>
    </w:p>
    <w:p w14:paraId="4078AE5F" w14:textId="77777777" w:rsidR="004F76C0" w:rsidRDefault="004F76C0" w:rsidP="00E53745">
      <w:pPr>
        <w:pStyle w:val="ListParagraph"/>
        <w:tabs>
          <w:tab w:val="left" w:pos="3380"/>
        </w:tabs>
      </w:pPr>
    </w:p>
    <w:p w14:paraId="70C63BF0" w14:textId="2C2D099F" w:rsidR="004F76C0" w:rsidRDefault="004F76C0" w:rsidP="00E53745">
      <w:pPr>
        <w:pStyle w:val="ListParagraph"/>
        <w:tabs>
          <w:tab w:val="left" w:pos="3380"/>
        </w:tabs>
      </w:pPr>
      <w:r>
        <w:t>Ultimately, investing in gender competency development is not just an academic reform—it is a societal imperative.</w:t>
      </w:r>
      <w:r w:rsidR="00D827A6">
        <w:t xml:space="preserve"> </w:t>
      </w:r>
      <w:r>
        <w:t>As frontline professionals, social workers must be empowered to transform institutions, challenge entrenched norms, and uphold the rights and dignity of all individuals, particularly those most marginalized by gender-based violence and inequality. This research contributes to that vision by offering both a mirror to current practices and a roadmap for future change.</w:t>
      </w:r>
    </w:p>
    <w:p w14:paraId="7FF666B0" w14:textId="77777777" w:rsidR="004F76C0" w:rsidRDefault="004F76C0" w:rsidP="00E53745">
      <w:pPr>
        <w:pStyle w:val="ListParagraph"/>
        <w:tabs>
          <w:tab w:val="left" w:pos="3380"/>
        </w:tabs>
      </w:pPr>
    </w:p>
    <w:p w14:paraId="0586955F" w14:textId="440385DB" w:rsidR="005C0741" w:rsidRDefault="005C0741" w:rsidP="00074407">
      <w:pPr>
        <w:tabs>
          <w:tab w:val="left" w:pos="3380"/>
        </w:tabs>
      </w:pPr>
    </w:p>
    <w:p w14:paraId="5183472F" w14:textId="77777777" w:rsidR="005C0741" w:rsidRDefault="005C0741" w:rsidP="00E53745">
      <w:pPr>
        <w:pStyle w:val="ListParagraph"/>
        <w:tabs>
          <w:tab w:val="left" w:pos="3380"/>
        </w:tabs>
      </w:pPr>
    </w:p>
    <w:p w14:paraId="4BADDF6F" w14:textId="77777777" w:rsidR="005C0741" w:rsidRDefault="005C0741" w:rsidP="00E53745">
      <w:pPr>
        <w:pStyle w:val="ListParagraph"/>
        <w:tabs>
          <w:tab w:val="left" w:pos="3380"/>
        </w:tabs>
      </w:pPr>
    </w:p>
    <w:p w14:paraId="02495E0D" w14:textId="77777777" w:rsidR="005C0741" w:rsidRDefault="005C0741" w:rsidP="00E53745">
      <w:pPr>
        <w:pStyle w:val="ListParagraph"/>
        <w:tabs>
          <w:tab w:val="left" w:pos="3380"/>
        </w:tabs>
      </w:pPr>
    </w:p>
    <w:p w14:paraId="30C0812A" w14:textId="0D936B8D" w:rsidR="00EC7706" w:rsidRPr="00C02EAA" w:rsidRDefault="00EC7706" w:rsidP="00200D43">
      <w:pPr>
        <w:pStyle w:val="ListParagraph"/>
        <w:tabs>
          <w:tab w:val="left" w:pos="3380"/>
        </w:tabs>
      </w:pPr>
    </w:p>
    <w:p w14:paraId="5A0EE387" w14:textId="4131EFE9" w:rsidR="00EC7706" w:rsidRPr="00C02EAA" w:rsidRDefault="00EC7706" w:rsidP="00200D43">
      <w:pPr>
        <w:tabs>
          <w:tab w:val="left" w:pos="3380"/>
        </w:tabs>
      </w:pPr>
    </w:p>
    <w:p w14:paraId="7EEE39EA" w14:textId="77777777" w:rsidR="00FC6B0D" w:rsidRDefault="00FC6B0D" w:rsidP="00200D43">
      <w:pPr>
        <w:pStyle w:val="ListParagraph"/>
        <w:tabs>
          <w:tab w:val="left" w:pos="3380"/>
        </w:tabs>
      </w:pPr>
    </w:p>
    <w:p w14:paraId="64E20DAA" w14:textId="77777777" w:rsidR="00D65782" w:rsidRDefault="00D65782" w:rsidP="00200D43">
      <w:pPr>
        <w:pStyle w:val="ListParagraph"/>
        <w:tabs>
          <w:tab w:val="left" w:pos="3380"/>
        </w:tabs>
      </w:pPr>
    </w:p>
    <w:p w14:paraId="75DE6B16" w14:textId="77777777" w:rsidR="00D65782" w:rsidRDefault="00D65782" w:rsidP="00200D43">
      <w:pPr>
        <w:pStyle w:val="ListParagraph"/>
        <w:tabs>
          <w:tab w:val="left" w:pos="3380"/>
        </w:tabs>
      </w:pPr>
    </w:p>
    <w:p w14:paraId="6E622BEF" w14:textId="77777777" w:rsidR="00D65782" w:rsidRDefault="00D65782" w:rsidP="00200D43">
      <w:pPr>
        <w:pStyle w:val="ListParagraph"/>
        <w:tabs>
          <w:tab w:val="left" w:pos="3380"/>
        </w:tabs>
      </w:pPr>
    </w:p>
    <w:p w14:paraId="6FCE85E6" w14:textId="77777777" w:rsidR="00D65782" w:rsidRDefault="00D65782" w:rsidP="00200D43">
      <w:pPr>
        <w:pStyle w:val="ListParagraph"/>
        <w:tabs>
          <w:tab w:val="left" w:pos="3380"/>
        </w:tabs>
      </w:pPr>
    </w:p>
    <w:p w14:paraId="7FBD966F" w14:textId="77777777" w:rsidR="00D65782" w:rsidRDefault="00D65782" w:rsidP="00200D43">
      <w:pPr>
        <w:pStyle w:val="ListParagraph"/>
        <w:tabs>
          <w:tab w:val="left" w:pos="3380"/>
        </w:tabs>
      </w:pPr>
    </w:p>
    <w:p w14:paraId="09334517" w14:textId="77777777" w:rsidR="00D65782" w:rsidRDefault="00D65782" w:rsidP="00200D43">
      <w:pPr>
        <w:pStyle w:val="ListParagraph"/>
        <w:tabs>
          <w:tab w:val="left" w:pos="3380"/>
        </w:tabs>
      </w:pPr>
    </w:p>
    <w:p w14:paraId="61B7D233" w14:textId="77777777" w:rsidR="00D65782" w:rsidRDefault="00D65782" w:rsidP="00200D43">
      <w:pPr>
        <w:pStyle w:val="ListParagraph"/>
        <w:tabs>
          <w:tab w:val="left" w:pos="3380"/>
        </w:tabs>
      </w:pPr>
    </w:p>
    <w:p w14:paraId="1ADDA178" w14:textId="77777777" w:rsidR="00D65782" w:rsidRDefault="00D65782" w:rsidP="00200D43">
      <w:pPr>
        <w:pStyle w:val="ListParagraph"/>
        <w:tabs>
          <w:tab w:val="left" w:pos="3380"/>
        </w:tabs>
      </w:pPr>
    </w:p>
    <w:p w14:paraId="5A6E5BF1" w14:textId="77777777" w:rsidR="00D65782" w:rsidRDefault="00D65782" w:rsidP="00E53745">
      <w:pPr>
        <w:pStyle w:val="ListParagraph"/>
        <w:tabs>
          <w:tab w:val="left" w:pos="3380"/>
        </w:tabs>
      </w:pPr>
    </w:p>
    <w:p w14:paraId="21F07EA5" w14:textId="77777777" w:rsidR="00D65782" w:rsidRDefault="00D65782" w:rsidP="00E53745">
      <w:pPr>
        <w:pStyle w:val="ListParagraph"/>
        <w:tabs>
          <w:tab w:val="left" w:pos="3380"/>
        </w:tabs>
      </w:pPr>
    </w:p>
    <w:p w14:paraId="3E349995" w14:textId="77777777" w:rsidR="00D65782" w:rsidRDefault="00D65782" w:rsidP="00E53745">
      <w:pPr>
        <w:pStyle w:val="ListParagraph"/>
        <w:tabs>
          <w:tab w:val="left" w:pos="3380"/>
        </w:tabs>
      </w:pPr>
    </w:p>
    <w:p w14:paraId="01BAA359" w14:textId="77777777" w:rsidR="00D65782" w:rsidRDefault="00D65782" w:rsidP="00E53745">
      <w:pPr>
        <w:pStyle w:val="ListParagraph"/>
        <w:tabs>
          <w:tab w:val="left" w:pos="3380"/>
        </w:tabs>
      </w:pPr>
    </w:p>
    <w:p w14:paraId="1561FC28" w14:textId="77777777" w:rsidR="00D65782" w:rsidRDefault="00D65782" w:rsidP="00E53745">
      <w:pPr>
        <w:pStyle w:val="ListParagraph"/>
        <w:tabs>
          <w:tab w:val="left" w:pos="3380"/>
        </w:tabs>
      </w:pPr>
    </w:p>
    <w:p w14:paraId="5B4D2F43" w14:textId="77777777" w:rsidR="00D65782" w:rsidRDefault="00D65782" w:rsidP="00E53745">
      <w:pPr>
        <w:pStyle w:val="ListParagraph"/>
        <w:tabs>
          <w:tab w:val="left" w:pos="3380"/>
        </w:tabs>
      </w:pPr>
    </w:p>
    <w:p w14:paraId="149AB09C" w14:textId="77777777" w:rsidR="00D65782" w:rsidRDefault="00D65782" w:rsidP="00E53745">
      <w:pPr>
        <w:pStyle w:val="ListParagraph"/>
        <w:tabs>
          <w:tab w:val="left" w:pos="3380"/>
        </w:tabs>
      </w:pPr>
    </w:p>
    <w:p w14:paraId="0B855965" w14:textId="77777777" w:rsidR="00D827A6" w:rsidRDefault="00D827A6" w:rsidP="00E53745">
      <w:pPr>
        <w:pStyle w:val="ListParagraph"/>
        <w:tabs>
          <w:tab w:val="left" w:pos="3380"/>
        </w:tabs>
      </w:pPr>
    </w:p>
    <w:p w14:paraId="798D171C" w14:textId="77777777" w:rsidR="00D827A6" w:rsidRDefault="00D827A6" w:rsidP="00E53745">
      <w:pPr>
        <w:pStyle w:val="ListParagraph"/>
        <w:tabs>
          <w:tab w:val="left" w:pos="3380"/>
        </w:tabs>
      </w:pPr>
    </w:p>
    <w:p w14:paraId="42293ACB" w14:textId="77777777" w:rsidR="00D827A6" w:rsidRDefault="00D827A6" w:rsidP="00E53745">
      <w:pPr>
        <w:pStyle w:val="ListParagraph"/>
        <w:tabs>
          <w:tab w:val="left" w:pos="3380"/>
        </w:tabs>
      </w:pPr>
    </w:p>
    <w:p w14:paraId="0583E0B8" w14:textId="77777777" w:rsidR="00D65782" w:rsidRDefault="00D65782" w:rsidP="00E53745">
      <w:pPr>
        <w:pStyle w:val="ListParagraph"/>
        <w:tabs>
          <w:tab w:val="left" w:pos="3380"/>
        </w:tabs>
      </w:pPr>
    </w:p>
    <w:p w14:paraId="44822407" w14:textId="31BCAAEE" w:rsidR="00D65782" w:rsidRDefault="00D65782" w:rsidP="00E53745">
      <w:pPr>
        <w:pStyle w:val="ListParagraph"/>
        <w:tabs>
          <w:tab w:val="left" w:pos="3380"/>
        </w:tabs>
      </w:pPr>
      <w:r>
        <w:t xml:space="preserve">REFERENCE </w:t>
      </w:r>
    </w:p>
    <w:p w14:paraId="4167EEB6" w14:textId="77777777" w:rsidR="000977BA" w:rsidRDefault="000977BA" w:rsidP="00E53745">
      <w:pPr>
        <w:pStyle w:val="ListParagraph"/>
        <w:tabs>
          <w:tab w:val="left" w:pos="3380"/>
        </w:tabs>
      </w:pPr>
    </w:p>
    <w:p w14:paraId="167D74DB" w14:textId="77777777" w:rsidR="000977BA" w:rsidRDefault="000977BA" w:rsidP="00E53745">
      <w:pPr>
        <w:pStyle w:val="ListParagraph"/>
        <w:tabs>
          <w:tab w:val="left" w:pos="3380"/>
        </w:tabs>
      </w:pPr>
    </w:p>
    <w:p w14:paraId="13760209" w14:textId="40933784" w:rsidR="000977BA" w:rsidRDefault="003B5FEE" w:rsidP="003B5FEE">
      <w:pPr>
        <w:pStyle w:val="ListParagraph"/>
        <w:numPr>
          <w:ilvl w:val="0"/>
          <w:numId w:val="18"/>
        </w:numPr>
        <w:tabs>
          <w:tab w:val="left" w:pos="3380"/>
        </w:tabs>
      </w:pPr>
      <w:proofErr w:type="spellStart"/>
      <w:r>
        <w:t>Світовенко</w:t>
      </w:r>
      <w:proofErr w:type="spellEnd"/>
      <w:r>
        <w:t xml:space="preserve">, Д. В. (2023). Форми </w:t>
      </w:r>
      <w:proofErr w:type="spellStart"/>
      <w:r>
        <w:t>та</w:t>
      </w:r>
      <w:proofErr w:type="spellEnd"/>
      <w:r>
        <w:t xml:space="preserve"> </w:t>
      </w:r>
      <w:proofErr w:type="spellStart"/>
      <w:r>
        <w:t>способи</w:t>
      </w:r>
      <w:proofErr w:type="spellEnd"/>
      <w:r>
        <w:t xml:space="preserve"> </w:t>
      </w:r>
      <w:proofErr w:type="spellStart"/>
      <w:r>
        <w:t>реалізації</w:t>
      </w:r>
      <w:proofErr w:type="spellEnd"/>
      <w:r>
        <w:t xml:space="preserve"> </w:t>
      </w:r>
      <w:proofErr w:type="spellStart"/>
      <w:r>
        <w:t>принципу</w:t>
      </w:r>
      <w:proofErr w:type="spellEnd"/>
      <w:r>
        <w:t xml:space="preserve"> </w:t>
      </w:r>
      <w:proofErr w:type="spellStart"/>
      <w:r>
        <w:t>гендерної</w:t>
      </w:r>
      <w:proofErr w:type="spellEnd"/>
      <w:r>
        <w:t xml:space="preserve"> </w:t>
      </w:r>
      <w:proofErr w:type="spellStart"/>
      <w:r>
        <w:t>рівності</w:t>
      </w:r>
      <w:proofErr w:type="spellEnd"/>
      <w:r>
        <w:t xml:space="preserve"> </w:t>
      </w:r>
      <w:proofErr w:type="spellStart"/>
      <w:r>
        <w:t>за</w:t>
      </w:r>
      <w:proofErr w:type="spellEnd"/>
      <w:r>
        <w:t xml:space="preserve"> </w:t>
      </w:r>
      <w:proofErr w:type="spellStart"/>
      <w:r>
        <w:t>трудовим</w:t>
      </w:r>
      <w:proofErr w:type="spellEnd"/>
      <w:r>
        <w:t xml:space="preserve"> </w:t>
      </w:r>
      <w:proofErr w:type="spellStart"/>
      <w:r>
        <w:t>законодавством</w:t>
      </w:r>
      <w:proofErr w:type="spellEnd"/>
      <w:r>
        <w:t xml:space="preserve"> </w:t>
      </w:r>
      <w:proofErr w:type="spellStart"/>
      <w:r>
        <w:t>України</w:t>
      </w:r>
      <w:proofErr w:type="spellEnd"/>
      <w:r>
        <w:t xml:space="preserve"> (Doctoral dissertation, КНУ </w:t>
      </w:r>
      <w:proofErr w:type="spellStart"/>
      <w:r>
        <w:t>ім</w:t>
      </w:r>
      <w:proofErr w:type="spellEnd"/>
      <w:r>
        <w:t xml:space="preserve">. Т. </w:t>
      </w:r>
      <w:proofErr w:type="spellStart"/>
      <w:r>
        <w:t>Шевченка</w:t>
      </w:r>
      <w:proofErr w:type="spellEnd"/>
      <w:r>
        <w:t>).</w:t>
      </w:r>
    </w:p>
    <w:p w14:paraId="3742CA44" w14:textId="52F0CC94" w:rsidR="003B5FEE" w:rsidRDefault="00BE596C" w:rsidP="003B5FEE">
      <w:pPr>
        <w:pStyle w:val="ListParagraph"/>
        <w:numPr>
          <w:ilvl w:val="0"/>
          <w:numId w:val="18"/>
        </w:numPr>
        <w:tabs>
          <w:tab w:val="left" w:pos="3380"/>
        </w:tabs>
      </w:pPr>
      <w:proofErr w:type="spellStart"/>
      <w:r>
        <w:t>Mtaita</w:t>
      </w:r>
      <w:proofErr w:type="spellEnd"/>
      <w:r>
        <w:t xml:space="preserve">, C., </w:t>
      </w:r>
      <w:proofErr w:type="spellStart"/>
      <w:r>
        <w:t>Likindikoki</w:t>
      </w:r>
      <w:proofErr w:type="spellEnd"/>
      <w:r>
        <w:t xml:space="preserve">, S., McGowan, M., </w:t>
      </w:r>
      <w:proofErr w:type="spellStart"/>
      <w:r>
        <w:t>Mpembeni</w:t>
      </w:r>
      <w:proofErr w:type="spellEnd"/>
      <w:r>
        <w:t xml:space="preserve">, R., Safary, E., &amp; Jahn, A. (2021). Knowledge, experience and perception of gender-based violence health services: A mixed methods study on adolescent girls and young women </w:t>
      </w:r>
      <w:r>
        <w:lastRenderedPageBreak/>
        <w:t>in Tanzania. International journal of environmental research and public health, 18(16), 8575.</w:t>
      </w:r>
    </w:p>
    <w:p w14:paraId="43E71F3B" w14:textId="14C0EEC3" w:rsidR="00BE596C" w:rsidRDefault="0068390F" w:rsidP="003B5FEE">
      <w:pPr>
        <w:pStyle w:val="ListParagraph"/>
        <w:numPr>
          <w:ilvl w:val="0"/>
          <w:numId w:val="18"/>
        </w:numPr>
        <w:tabs>
          <w:tab w:val="left" w:pos="3380"/>
        </w:tabs>
      </w:pPr>
      <w:r>
        <w:t>Almasa Zubović. (2014). Gender Equality in EU Development Partnerships. Retrieved from relevant development policy publications.</w:t>
      </w:r>
    </w:p>
    <w:p w14:paraId="7E2D6B47" w14:textId="3D78DD3B" w:rsidR="00BD565B" w:rsidRDefault="00A0646D" w:rsidP="003B5FEE">
      <w:pPr>
        <w:pStyle w:val="ListParagraph"/>
        <w:numPr>
          <w:ilvl w:val="0"/>
          <w:numId w:val="18"/>
        </w:numPr>
        <w:tabs>
          <w:tab w:val="left" w:pos="3380"/>
        </w:tabs>
      </w:pPr>
      <w:r>
        <w:t>Brookhart, S. M. (2009). Grading and learning: Practices that support student achievement. ASCD.</w:t>
      </w:r>
    </w:p>
    <w:p w14:paraId="6955C8C1" w14:textId="035117C8" w:rsidR="000977BA" w:rsidRDefault="001B666A" w:rsidP="001B666A">
      <w:pPr>
        <w:pStyle w:val="ListParagraph"/>
        <w:numPr>
          <w:ilvl w:val="0"/>
          <w:numId w:val="18"/>
        </w:numPr>
        <w:tabs>
          <w:tab w:val="left" w:pos="3380"/>
        </w:tabs>
        <w:rPr>
          <w:rFonts w:eastAsia="Times New Roman"/>
        </w:rPr>
      </w:pPr>
      <w:proofErr w:type="spellStart"/>
      <w:r>
        <w:rPr>
          <w:rFonts w:eastAsia="Times New Roman"/>
        </w:rPr>
        <w:t>Horobeanu</w:t>
      </w:r>
      <w:proofErr w:type="spellEnd"/>
      <w:r>
        <w:rPr>
          <w:rFonts w:eastAsia="Times New Roman"/>
        </w:rPr>
        <w:t xml:space="preserve">, R., et al. (2023). </w:t>
      </w:r>
      <w:r>
        <w:rPr>
          <w:rStyle w:val="Emphasis"/>
          <w:rFonts w:eastAsia="Times New Roman"/>
        </w:rPr>
        <w:t>Education and Gender Equality in Romania: Gaps Between Policy and Practice</w:t>
      </w:r>
      <w:r>
        <w:rPr>
          <w:rFonts w:eastAsia="Times New Roman"/>
        </w:rPr>
        <w:t>. European Journal of Education Studies.</w:t>
      </w:r>
    </w:p>
    <w:p w14:paraId="33079D01" w14:textId="09836C03" w:rsidR="001B666A" w:rsidRDefault="00DB751F" w:rsidP="001B666A">
      <w:pPr>
        <w:pStyle w:val="ListParagraph"/>
        <w:numPr>
          <w:ilvl w:val="0"/>
          <w:numId w:val="18"/>
        </w:numPr>
        <w:tabs>
          <w:tab w:val="left" w:pos="3380"/>
        </w:tabs>
        <w:rPr>
          <w:rFonts w:eastAsia="Times New Roman"/>
        </w:rPr>
      </w:pPr>
      <w:r>
        <w:rPr>
          <w:rFonts w:eastAsia="Times New Roman"/>
        </w:rPr>
        <w:t>Kohn, A. (1999). Punished by Rewards: The Trouble with Gold Stars, Incentive Plans, A’s, Praise, and Other Bribes. Houghton Mifflin.</w:t>
      </w:r>
    </w:p>
    <w:p w14:paraId="77844ECF" w14:textId="7535F336" w:rsidR="00DB751F" w:rsidRDefault="008C4F43" w:rsidP="001B666A">
      <w:pPr>
        <w:pStyle w:val="ListParagraph"/>
        <w:numPr>
          <w:ilvl w:val="0"/>
          <w:numId w:val="18"/>
        </w:numPr>
        <w:tabs>
          <w:tab w:val="left" w:pos="3380"/>
        </w:tabs>
        <w:rPr>
          <w:rFonts w:eastAsia="Times New Roman"/>
        </w:rPr>
      </w:pPr>
      <w:r>
        <w:rPr>
          <w:rFonts w:eastAsia="Times New Roman"/>
        </w:rPr>
        <w:t>Mahlori, P., Madonsela, B., &amp; Mokwena, K. (2018). Gender-Based Violence among University Staff and Students: A South African Perspective. Gender &amp; Behaviour, 16(1).</w:t>
      </w:r>
    </w:p>
    <w:p w14:paraId="39872C8B" w14:textId="2E688089" w:rsidR="008C4F43" w:rsidRDefault="001B3DCA" w:rsidP="001B666A">
      <w:pPr>
        <w:pStyle w:val="ListParagraph"/>
        <w:numPr>
          <w:ilvl w:val="0"/>
          <w:numId w:val="18"/>
        </w:numPr>
        <w:tabs>
          <w:tab w:val="left" w:pos="3380"/>
        </w:tabs>
        <w:rPr>
          <w:rFonts w:eastAsia="Times New Roman"/>
        </w:rPr>
      </w:pPr>
      <w:proofErr w:type="spellStart"/>
      <w:r>
        <w:rPr>
          <w:rFonts w:eastAsia="Times New Roman"/>
        </w:rPr>
        <w:t>Martsenyuk</w:t>
      </w:r>
      <w:proofErr w:type="spellEnd"/>
      <w:r>
        <w:rPr>
          <w:rFonts w:eastAsia="Times New Roman"/>
        </w:rPr>
        <w:t>, T. (n.d.). Feminist Activism and Gender Equality in Ukraine: Historical and Contemporary Trends.</w:t>
      </w:r>
    </w:p>
    <w:p w14:paraId="7F14C7E9" w14:textId="3B9E790D" w:rsidR="001B3DCA" w:rsidRDefault="006C6627" w:rsidP="001B666A">
      <w:pPr>
        <w:pStyle w:val="ListParagraph"/>
        <w:numPr>
          <w:ilvl w:val="0"/>
          <w:numId w:val="18"/>
        </w:numPr>
        <w:tabs>
          <w:tab w:val="left" w:pos="3380"/>
        </w:tabs>
        <w:rPr>
          <w:rFonts w:eastAsia="Times New Roman"/>
        </w:rPr>
      </w:pPr>
      <w:proofErr w:type="spellStart"/>
      <w:r>
        <w:rPr>
          <w:rFonts w:eastAsia="Times New Roman"/>
        </w:rPr>
        <w:t>Mtaita</w:t>
      </w:r>
      <w:proofErr w:type="spellEnd"/>
      <w:r>
        <w:rPr>
          <w:rFonts w:eastAsia="Times New Roman"/>
        </w:rPr>
        <w:t>, B., et al. (2023). Training Gaps in Gender-Based Violence Response among Healthcare Providers. BMC Health Services Research.</w:t>
      </w:r>
    </w:p>
    <w:p w14:paraId="341FCA6E" w14:textId="77777777" w:rsidR="006C6627" w:rsidRDefault="006C6627" w:rsidP="006C6627">
      <w:pPr>
        <w:tabs>
          <w:tab w:val="left" w:pos="3380"/>
        </w:tabs>
        <w:rPr>
          <w:rFonts w:eastAsia="Times New Roman"/>
        </w:rPr>
      </w:pPr>
    </w:p>
    <w:p w14:paraId="55282B65" w14:textId="77777777" w:rsidR="006C6627" w:rsidRDefault="006C6627" w:rsidP="006C6627">
      <w:pPr>
        <w:tabs>
          <w:tab w:val="left" w:pos="3380"/>
        </w:tabs>
        <w:rPr>
          <w:rFonts w:eastAsia="Times New Roman"/>
        </w:rPr>
      </w:pPr>
    </w:p>
    <w:p w14:paraId="3569BD2A" w14:textId="77777777" w:rsidR="006C6627" w:rsidRDefault="006C6627" w:rsidP="006C6627">
      <w:pPr>
        <w:tabs>
          <w:tab w:val="left" w:pos="3380"/>
        </w:tabs>
        <w:rPr>
          <w:rFonts w:eastAsia="Times New Roman"/>
        </w:rPr>
      </w:pPr>
    </w:p>
    <w:p w14:paraId="4B87786D" w14:textId="45A20E58" w:rsidR="006C6627" w:rsidRDefault="0081467F" w:rsidP="006C6627">
      <w:pPr>
        <w:pStyle w:val="ListParagraph"/>
        <w:numPr>
          <w:ilvl w:val="0"/>
          <w:numId w:val="18"/>
        </w:numPr>
        <w:tabs>
          <w:tab w:val="left" w:pos="3380"/>
        </w:tabs>
        <w:rPr>
          <w:rFonts w:eastAsia="Times New Roman"/>
        </w:rPr>
      </w:pPr>
      <w:r>
        <w:rPr>
          <w:rFonts w:eastAsia="Times New Roman"/>
        </w:rPr>
        <w:t>Olson, R. M., Nelson, B. D., Anastario, M., Ulibarri, B. J., et al. (2022). Assessing Knowledge and Acceptability of a Trauma-Informed Training Model to Strengthen Response to Conflict and Gender-Based Violence in the Democratic Republic of Congo. Violence and Victims.</w:t>
      </w:r>
    </w:p>
    <w:p w14:paraId="159B0214" w14:textId="645479C4" w:rsidR="0081467F" w:rsidRDefault="00B726EF" w:rsidP="006C6627">
      <w:pPr>
        <w:pStyle w:val="ListParagraph"/>
        <w:numPr>
          <w:ilvl w:val="0"/>
          <w:numId w:val="18"/>
        </w:numPr>
        <w:tabs>
          <w:tab w:val="left" w:pos="3380"/>
        </w:tabs>
        <w:rPr>
          <w:rFonts w:eastAsia="Times New Roman"/>
        </w:rPr>
      </w:pPr>
      <w:proofErr w:type="spellStart"/>
      <w:r>
        <w:rPr>
          <w:rFonts w:eastAsia="Times New Roman"/>
        </w:rPr>
        <w:t>Pajvančić</w:t>
      </w:r>
      <w:proofErr w:type="spellEnd"/>
      <w:r>
        <w:rPr>
          <w:rFonts w:eastAsia="Times New Roman"/>
        </w:rPr>
        <w:t>, M. (2020). Gender Equality in Science in Serbia: Between Strategy and Implementation. Journal of Gender Studies.</w:t>
      </w:r>
    </w:p>
    <w:p w14:paraId="2D1DB8A5" w14:textId="1CF24549" w:rsidR="00B726EF" w:rsidRDefault="00E1687C" w:rsidP="006C6627">
      <w:pPr>
        <w:pStyle w:val="ListParagraph"/>
        <w:numPr>
          <w:ilvl w:val="0"/>
          <w:numId w:val="18"/>
        </w:numPr>
        <w:tabs>
          <w:tab w:val="left" w:pos="3380"/>
        </w:tabs>
        <w:rPr>
          <w:rFonts w:eastAsia="Times New Roman"/>
        </w:rPr>
      </w:pPr>
      <w:r>
        <w:rPr>
          <w:rFonts w:eastAsia="Times New Roman"/>
        </w:rPr>
        <w:t>Rădoi, C. (2012). Conceptual Approaches to Gender Equality in European Policy: From Liberal to Transformative Feminism. European Integration Studies.</w:t>
      </w:r>
    </w:p>
    <w:p w14:paraId="07246C50" w14:textId="54F4E2C5" w:rsidR="00E1687C" w:rsidRDefault="00E339B3" w:rsidP="006C6627">
      <w:pPr>
        <w:pStyle w:val="ListParagraph"/>
        <w:numPr>
          <w:ilvl w:val="0"/>
          <w:numId w:val="18"/>
        </w:numPr>
        <w:tabs>
          <w:tab w:val="left" w:pos="3380"/>
        </w:tabs>
        <w:rPr>
          <w:rFonts w:eastAsia="Times New Roman"/>
        </w:rPr>
      </w:pPr>
      <w:r>
        <w:rPr>
          <w:rFonts w:eastAsia="Times New Roman"/>
        </w:rPr>
        <w:t xml:space="preserve">Santhya, K. G., &amp; </w:t>
      </w:r>
      <w:proofErr w:type="spellStart"/>
      <w:r>
        <w:rPr>
          <w:rFonts w:eastAsia="Times New Roman"/>
        </w:rPr>
        <w:t>Jejeebhoy</w:t>
      </w:r>
      <w:proofErr w:type="spellEnd"/>
      <w:r>
        <w:rPr>
          <w:rFonts w:eastAsia="Times New Roman"/>
        </w:rPr>
        <w:t>, S. J. (2020). Gender and Social Work Education in India: Challenges and Opportunities. Indian Journal of Social Work.</w:t>
      </w:r>
    </w:p>
    <w:p w14:paraId="5FD466CC" w14:textId="04D15CF7" w:rsidR="00E339B3" w:rsidRDefault="000E2999" w:rsidP="006C6627">
      <w:pPr>
        <w:pStyle w:val="ListParagraph"/>
        <w:numPr>
          <w:ilvl w:val="0"/>
          <w:numId w:val="18"/>
        </w:numPr>
        <w:tabs>
          <w:tab w:val="left" w:pos="3380"/>
        </w:tabs>
        <w:rPr>
          <w:rFonts w:eastAsia="Times New Roman"/>
        </w:rPr>
      </w:pPr>
      <w:proofErr w:type="spellStart"/>
      <w:r>
        <w:rPr>
          <w:rFonts w:eastAsia="Times New Roman"/>
        </w:rPr>
        <w:t>Sikweyiya</w:t>
      </w:r>
      <w:proofErr w:type="spellEnd"/>
      <w:r>
        <w:rPr>
          <w:rFonts w:eastAsia="Times New Roman"/>
        </w:rPr>
        <w:t>, Y. (2013). Ethical Considerations in Research on Gender-Based Violence in South Africa. PhD Dissertation, University of the Witwatersrand.</w:t>
      </w:r>
    </w:p>
    <w:p w14:paraId="585C93CA" w14:textId="13D80091" w:rsidR="000E2999" w:rsidRDefault="00346904" w:rsidP="006C6627">
      <w:pPr>
        <w:pStyle w:val="ListParagraph"/>
        <w:numPr>
          <w:ilvl w:val="0"/>
          <w:numId w:val="18"/>
        </w:numPr>
        <w:tabs>
          <w:tab w:val="left" w:pos="3380"/>
        </w:tabs>
        <w:rPr>
          <w:rFonts w:eastAsia="Times New Roman"/>
        </w:rPr>
      </w:pPr>
      <w:r>
        <w:rPr>
          <w:rFonts w:eastAsia="Times New Roman"/>
        </w:rPr>
        <w:lastRenderedPageBreak/>
        <w:t>UNESCO. (2021). UNESCO Strategy for Gender Equality 2022–2029. Paris: United Nations Educational, Scientific and Cultural Organization.</w:t>
      </w:r>
    </w:p>
    <w:p w14:paraId="21F343A6" w14:textId="2CCDDD30" w:rsidR="00346904" w:rsidRDefault="00D650B3" w:rsidP="006C6627">
      <w:pPr>
        <w:pStyle w:val="ListParagraph"/>
        <w:numPr>
          <w:ilvl w:val="0"/>
          <w:numId w:val="18"/>
        </w:numPr>
        <w:tabs>
          <w:tab w:val="left" w:pos="3380"/>
        </w:tabs>
        <w:rPr>
          <w:rFonts w:eastAsia="Times New Roman"/>
        </w:rPr>
      </w:pPr>
      <w:r>
        <w:rPr>
          <w:rFonts w:eastAsia="Times New Roman"/>
        </w:rPr>
        <w:t>Voicu, B., &amp; Voicu, M. (2019). The Right to Education: Legal and Policy Foundations in the UNESCO Handbook. Human Rights Review.</w:t>
      </w:r>
    </w:p>
    <w:p w14:paraId="74718021" w14:textId="4F0848B3" w:rsidR="00D650B3" w:rsidRDefault="00071CE6" w:rsidP="006C6627">
      <w:pPr>
        <w:pStyle w:val="ListParagraph"/>
        <w:numPr>
          <w:ilvl w:val="0"/>
          <w:numId w:val="18"/>
        </w:numPr>
        <w:tabs>
          <w:tab w:val="left" w:pos="3380"/>
        </w:tabs>
        <w:rPr>
          <w:rFonts w:eastAsia="Times New Roman"/>
        </w:rPr>
      </w:pPr>
      <w:r>
        <w:rPr>
          <w:rFonts w:eastAsia="Times New Roman"/>
        </w:rPr>
        <w:t>World Health Organization (WHO). (2021). Violence against women prevalence estimates, 2018. Geneva: WHO.</w:t>
      </w:r>
    </w:p>
    <w:p w14:paraId="3E0D42BA" w14:textId="4548AD6F" w:rsidR="00071CE6" w:rsidRDefault="00D06ABB" w:rsidP="006C6627">
      <w:pPr>
        <w:pStyle w:val="ListParagraph"/>
        <w:numPr>
          <w:ilvl w:val="0"/>
          <w:numId w:val="18"/>
        </w:numPr>
        <w:tabs>
          <w:tab w:val="left" w:pos="3380"/>
        </w:tabs>
        <w:rPr>
          <w:rFonts w:eastAsia="Times New Roman"/>
        </w:rPr>
      </w:pPr>
      <w:r>
        <w:rPr>
          <w:rFonts w:eastAsia="Times New Roman"/>
        </w:rPr>
        <w:t>Agarwal, P. (2015). Higher Education in India: Envisioning the Future. SAGE Publications India.</w:t>
      </w:r>
    </w:p>
    <w:p w14:paraId="75DD3F38" w14:textId="77162F26" w:rsidR="00D06ABB" w:rsidRDefault="000D68EC" w:rsidP="006C6627">
      <w:pPr>
        <w:pStyle w:val="ListParagraph"/>
        <w:numPr>
          <w:ilvl w:val="0"/>
          <w:numId w:val="18"/>
        </w:numPr>
        <w:tabs>
          <w:tab w:val="left" w:pos="3380"/>
        </w:tabs>
        <w:rPr>
          <w:rFonts w:eastAsia="Times New Roman"/>
        </w:rPr>
      </w:pPr>
      <w:r>
        <w:rPr>
          <w:rFonts w:eastAsia="Times New Roman"/>
        </w:rPr>
        <w:t>Andrade, H. (2019). A Critical Review of Research on Student Self-Assessment. Frontiers in Education, 4(87).</w:t>
      </w:r>
    </w:p>
    <w:p w14:paraId="2805DF0C" w14:textId="6CDFF340" w:rsidR="000D68EC" w:rsidRDefault="003B3532" w:rsidP="006C6627">
      <w:pPr>
        <w:pStyle w:val="ListParagraph"/>
        <w:numPr>
          <w:ilvl w:val="0"/>
          <w:numId w:val="18"/>
        </w:numPr>
        <w:tabs>
          <w:tab w:val="left" w:pos="3380"/>
        </w:tabs>
        <w:rPr>
          <w:rFonts w:eastAsia="Times New Roman"/>
        </w:rPr>
      </w:pPr>
      <w:r>
        <w:rPr>
          <w:rFonts w:eastAsia="Times New Roman"/>
        </w:rPr>
        <w:t>Berry, R. (2011). Assessment Trends in Asia: Practices and Challenges in Assessment in Asian Educational Systems. Assessment in Education: Principles, Policy &amp; Practice, 18(2), 123–136.</w:t>
      </w:r>
    </w:p>
    <w:p w14:paraId="673150FA" w14:textId="4ABAC2AD" w:rsidR="003B3532" w:rsidRDefault="0064301F" w:rsidP="006C6627">
      <w:pPr>
        <w:pStyle w:val="ListParagraph"/>
        <w:numPr>
          <w:ilvl w:val="0"/>
          <w:numId w:val="18"/>
        </w:numPr>
        <w:tabs>
          <w:tab w:val="left" w:pos="3380"/>
        </w:tabs>
        <w:rPr>
          <w:rFonts w:eastAsia="Times New Roman"/>
        </w:rPr>
      </w:pPr>
      <w:r>
        <w:rPr>
          <w:rFonts w:eastAsia="Times New Roman"/>
        </w:rPr>
        <w:t>Biggs, J. (2003). Teaching for Quality Learning at University (2</w:t>
      </w:r>
      <w:r w:rsidRPr="0064301F">
        <w:rPr>
          <w:rFonts w:eastAsia="Times New Roman"/>
          <w:vertAlign w:val="superscript"/>
        </w:rPr>
        <w:t>nd</w:t>
      </w:r>
      <w:r>
        <w:rPr>
          <w:rFonts w:eastAsia="Times New Roman"/>
        </w:rPr>
        <w:t xml:space="preserve"> ed.). Open University Press.</w:t>
      </w:r>
    </w:p>
    <w:p w14:paraId="0532B4FA" w14:textId="7755FF7D" w:rsidR="0064301F" w:rsidRDefault="00567426" w:rsidP="006C6627">
      <w:pPr>
        <w:pStyle w:val="ListParagraph"/>
        <w:numPr>
          <w:ilvl w:val="0"/>
          <w:numId w:val="18"/>
        </w:numPr>
        <w:tabs>
          <w:tab w:val="left" w:pos="3380"/>
        </w:tabs>
        <w:rPr>
          <w:rFonts w:eastAsia="Times New Roman"/>
        </w:rPr>
      </w:pPr>
      <w:r>
        <w:rPr>
          <w:rFonts w:eastAsia="Times New Roman"/>
        </w:rPr>
        <w:t xml:space="preserve">International Federation of Social Workers (IFSW). (2020). Global Social Work Statement of Ethical Principles. Retrieved from </w:t>
      </w:r>
      <w:hyperlink r:id="rId16" w:history="1">
        <w:r w:rsidRPr="0015339B">
          <w:rPr>
            <w:rStyle w:val="Hyperlink"/>
            <w:rFonts w:eastAsia="Times New Roman"/>
          </w:rPr>
          <w:t>https://www.ifsw.org/</w:t>
        </w:r>
      </w:hyperlink>
    </w:p>
    <w:p w14:paraId="29E1AC25" w14:textId="05AE6EAA" w:rsidR="00567426" w:rsidRDefault="004366FB" w:rsidP="006C6627">
      <w:pPr>
        <w:pStyle w:val="ListParagraph"/>
        <w:numPr>
          <w:ilvl w:val="0"/>
          <w:numId w:val="18"/>
        </w:numPr>
        <w:tabs>
          <w:tab w:val="left" w:pos="3380"/>
        </w:tabs>
        <w:rPr>
          <w:rFonts w:eastAsia="Times New Roman"/>
        </w:rPr>
      </w:pPr>
      <w:r>
        <w:rPr>
          <w:rFonts w:eastAsia="Times New Roman"/>
        </w:rPr>
        <w:t>Kohn, A. (2011). The Case Against Grades. Educational Leadership, 69(3), 28–33.</w:t>
      </w:r>
    </w:p>
    <w:p w14:paraId="5EE99DA8" w14:textId="77777777" w:rsidR="00F55001" w:rsidRDefault="00F55001" w:rsidP="00F55001">
      <w:pPr>
        <w:tabs>
          <w:tab w:val="left" w:pos="3380"/>
        </w:tabs>
        <w:rPr>
          <w:rFonts w:eastAsia="Times New Roman"/>
        </w:rPr>
      </w:pPr>
    </w:p>
    <w:p w14:paraId="7AD1BB66" w14:textId="77777777" w:rsidR="00F55001" w:rsidRPr="00F55001" w:rsidRDefault="00F55001" w:rsidP="00F55001">
      <w:pPr>
        <w:tabs>
          <w:tab w:val="left" w:pos="3380"/>
        </w:tabs>
        <w:rPr>
          <w:rFonts w:eastAsia="Times New Roman"/>
        </w:rPr>
      </w:pPr>
    </w:p>
    <w:p w14:paraId="71598BA4" w14:textId="6BC323FE" w:rsidR="004366FB" w:rsidRDefault="00F55001" w:rsidP="006C6627">
      <w:pPr>
        <w:pStyle w:val="ListParagraph"/>
        <w:numPr>
          <w:ilvl w:val="0"/>
          <w:numId w:val="18"/>
        </w:numPr>
        <w:tabs>
          <w:tab w:val="left" w:pos="3380"/>
        </w:tabs>
        <w:rPr>
          <w:rFonts w:eastAsia="Times New Roman"/>
        </w:rPr>
      </w:pPr>
      <w:r>
        <w:rPr>
          <w:rFonts w:eastAsia="Times New Roman"/>
        </w:rPr>
        <w:t>Marzano, R. J. (2000). Transforming Classroom Grading. ASCD.</w:t>
      </w:r>
    </w:p>
    <w:p w14:paraId="72FC4190" w14:textId="7B34ACE6" w:rsidR="00F55001" w:rsidRDefault="008D58EB" w:rsidP="006C6627">
      <w:pPr>
        <w:pStyle w:val="ListParagraph"/>
        <w:numPr>
          <w:ilvl w:val="0"/>
          <w:numId w:val="18"/>
        </w:numPr>
        <w:tabs>
          <w:tab w:val="left" w:pos="3380"/>
        </w:tabs>
        <w:rPr>
          <w:rFonts w:eastAsia="Times New Roman"/>
        </w:rPr>
      </w:pPr>
      <w:r>
        <w:rPr>
          <w:rFonts w:eastAsia="Times New Roman"/>
        </w:rPr>
        <w:t>Patel, S., &amp; Kumar, R. (2016). Reforming Indian Higher Education: Challenges and Policy Implications. Economic and Political Weekly, 51(34), 23–26.</w:t>
      </w:r>
    </w:p>
    <w:p w14:paraId="7B01844A" w14:textId="621B2599" w:rsidR="008D58EB" w:rsidRDefault="00FE530A" w:rsidP="006C6627">
      <w:pPr>
        <w:pStyle w:val="ListParagraph"/>
        <w:numPr>
          <w:ilvl w:val="0"/>
          <w:numId w:val="18"/>
        </w:numPr>
        <w:tabs>
          <w:tab w:val="left" w:pos="3380"/>
        </w:tabs>
        <w:rPr>
          <w:rFonts w:eastAsia="Times New Roman"/>
        </w:rPr>
      </w:pPr>
      <w:r>
        <w:rPr>
          <w:rFonts w:eastAsia="Times New Roman"/>
        </w:rPr>
        <w:t>Reddy, B. S. (2017). Grading Systems in Indian Secondary Education: A Policy Review. Indian Journal of Educational Technology, 10(2), 45–52.</w:t>
      </w:r>
    </w:p>
    <w:p w14:paraId="782F8063" w14:textId="1B2B29CC" w:rsidR="00FE530A" w:rsidRDefault="00831B1B" w:rsidP="006C6627">
      <w:pPr>
        <w:pStyle w:val="ListParagraph"/>
        <w:numPr>
          <w:ilvl w:val="0"/>
          <w:numId w:val="18"/>
        </w:numPr>
        <w:tabs>
          <w:tab w:val="left" w:pos="3380"/>
        </w:tabs>
        <w:rPr>
          <w:rFonts w:eastAsia="Times New Roman"/>
        </w:rPr>
      </w:pPr>
      <w:r>
        <w:rPr>
          <w:rFonts w:eastAsia="Times New Roman"/>
        </w:rPr>
        <w:t>Reddy, R., &amp; Kurien, J. (2018). STEM Subject Performance Trends in Kerala: An Analysis of SSLC Results. Kerala Journal of Education Research, 25(1), 14–25.</w:t>
      </w:r>
    </w:p>
    <w:p w14:paraId="3180744D" w14:textId="002B34E1" w:rsidR="00831B1B" w:rsidRDefault="000D50AF" w:rsidP="006C6627">
      <w:pPr>
        <w:pStyle w:val="ListParagraph"/>
        <w:numPr>
          <w:ilvl w:val="0"/>
          <w:numId w:val="18"/>
        </w:numPr>
        <w:tabs>
          <w:tab w:val="left" w:pos="3380"/>
        </w:tabs>
        <w:rPr>
          <w:rFonts w:eastAsia="Times New Roman"/>
        </w:rPr>
      </w:pPr>
      <w:r>
        <w:rPr>
          <w:rFonts w:eastAsia="Times New Roman"/>
        </w:rPr>
        <w:t xml:space="preserve">Sadler, D. R. (2009). Indeterminacy in the Use of </w:t>
      </w:r>
      <w:proofErr w:type="spellStart"/>
      <w:r>
        <w:rPr>
          <w:rFonts w:eastAsia="Times New Roman"/>
        </w:rPr>
        <w:t>Preset</w:t>
      </w:r>
      <w:proofErr w:type="spellEnd"/>
      <w:r>
        <w:rPr>
          <w:rFonts w:eastAsia="Times New Roman"/>
        </w:rPr>
        <w:t xml:space="preserve"> Criteria for Assessment and Grading. Assessment &amp; Evaluation in Higher Education, 34(2), 159–179.</w:t>
      </w:r>
    </w:p>
    <w:p w14:paraId="306076F6" w14:textId="22D65E48" w:rsidR="000D50AF" w:rsidRDefault="00DB0DA5" w:rsidP="006C6627">
      <w:pPr>
        <w:pStyle w:val="ListParagraph"/>
        <w:numPr>
          <w:ilvl w:val="0"/>
          <w:numId w:val="18"/>
        </w:numPr>
        <w:tabs>
          <w:tab w:val="left" w:pos="3380"/>
        </w:tabs>
        <w:rPr>
          <w:rFonts w:eastAsia="Times New Roman"/>
        </w:rPr>
      </w:pPr>
      <w:r>
        <w:rPr>
          <w:rFonts w:eastAsia="Times New Roman"/>
        </w:rPr>
        <w:t>Shepard, L. A. (2000). The Role of Assessment in a Learning Culture. Educational Researcher, 29(7), 4–14.</w:t>
      </w:r>
    </w:p>
    <w:p w14:paraId="30F0F881" w14:textId="27FA5EB0" w:rsidR="00DB0DA5" w:rsidRDefault="00960B85" w:rsidP="006C6627">
      <w:pPr>
        <w:pStyle w:val="ListParagraph"/>
        <w:numPr>
          <w:ilvl w:val="0"/>
          <w:numId w:val="18"/>
        </w:numPr>
        <w:tabs>
          <w:tab w:val="left" w:pos="3380"/>
        </w:tabs>
        <w:rPr>
          <w:rFonts w:eastAsia="Times New Roman"/>
        </w:rPr>
      </w:pPr>
      <w:r>
        <w:rPr>
          <w:rFonts w:eastAsia="Times New Roman"/>
        </w:rPr>
        <w:t>Tamang, A. (2020). Feminist Social Work: A South Asian Perspective. Journal of Social Inclusion Studies, 6(1), 45–62.</w:t>
      </w:r>
    </w:p>
    <w:p w14:paraId="26C073A4" w14:textId="1681F612" w:rsidR="00960B85" w:rsidRPr="006C6627" w:rsidRDefault="009E3EA0" w:rsidP="006C6627">
      <w:pPr>
        <w:pStyle w:val="ListParagraph"/>
        <w:numPr>
          <w:ilvl w:val="0"/>
          <w:numId w:val="18"/>
        </w:numPr>
        <w:tabs>
          <w:tab w:val="left" w:pos="3380"/>
        </w:tabs>
        <w:rPr>
          <w:rFonts w:eastAsia="Times New Roman"/>
        </w:rPr>
      </w:pPr>
      <w:r>
        <w:rPr>
          <w:rFonts w:eastAsia="Times New Roman"/>
        </w:rPr>
        <w:lastRenderedPageBreak/>
        <w:t>United Nations. (2015). Transforming our world: the 2030 Agenda for Sustainable Development. Retrieved from https://sdgs.un.org/2030agenda.</w:t>
      </w:r>
    </w:p>
    <w:p w14:paraId="35840583" w14:textId="77777777" w:rsidR="001B666A" w:rsidRDefault="001B666A" w:rsidP="00E53745">
      <w:pPr>
        <w:pStyle w:val="ListParagraph"/>
        <w:tabs>
          <w:tab w:val="left" w:pos="3380"/>
        </w:tabs>
      </w:pPr>
    </w:p>
    <w:p w14:paraId="715E7590" w14:textId="77777777" w:rsidR="000977BA" w:rsidRDefault="000977BA" w:rsidP="00E53745">
      <w:pPr>
        <w:pStyle w:val="ListParagraph"/>
        <w:tabs>
          <w:tab w:val="left" w:pos="3380"/>
        </w:tabs>
      </w:pPr>
    </w:p>
    <w:p w14:paraId="6059B7F8" w14:textId="77777777" w:rsidR="00835FC9" w:rsidRDefault="00835FC9" w:rsidP="00E53745">
      <w:pPr>
        <w:pStyle w:val="ListParagraph"/>
        <w:tabs>
          <w:tab w:val="left" w:pos="3380"/>
        </w:tabs>
      </w:pPr>
    </w:p>
    <w:p w14:paraId="554ADDA2" w14:textId="77777777" w:rsidR="00835FC9" w:rsidRDefault="00835FC9" w:rsidP="00E53745">
      <w:pPr>
        <w:pStyle w:val="ListParagraph"/>
        <w:tabs>
          <w:tab w:val="left" w:pos="3380"/>
        </w:tabs>
      </w:pPr>
    </w:p>
    <w:p w14:paraId="1A20BF4E" w14:textId="77777777" w:rsidR="00835FC9" w:rsidRDefault="00835FC9" w:rsidP="00E53745">
      <w:pPr>
        <w:pStyle w:val="ListParagraph"/>
        <w:tabs>
          <w:tab w:val="left" w:pos="3380"/>
        </w:tabs>
      </w:pPr>
    </w:p>
    <w:p w14:paraId="42FFF068" w14:textId="77777777" w:rsidR="00835FC9" w:rsidRDefault="00835FC9" w:rsidP="00E53745">
      <w:pPr>
        <w:pStyle w:val="ListParagraph"/>
        <w:tabs>
          <w:tab w:val="left" w:pos="3380"/>
        </w:tabs>
      </w:pPr>
    </w:p>
    <w:p w14:paraId="4DBA158D" w14:textId="77777777" w:rsidR="00835FC9" w:rsidRDefault="00835FC9" w:rsidP="00E53745">
      <w:pPr>
        <w:pStyle w:val="ListParagraph"/>
        <w:tabs>
          <w:tab w:val="left" w:pos="3380"/>
        </w:tabs>
      </w:pPr>
    </w:p>
    <w:p w14:paraId="17054F50" w14:textId="77777777" w:rsidR="00835FC9" w:rsidRDefault="00835FC9" w:rsidP="00E53745">
      <w:pPr>
        <w:pStyle w:val="ListParagraph"/>
        <w:tabs>
          <w:tab w:val="left" w:pos="3380"/>
        </w:tabs>
      </w:pPr>
    </w:p>
    <w:p w14:paraId="0E0AA78C" w14:textId="77777777" w:rsidR="00835FC9" w:rsidRDefault="00835FC9" w:rsidP="00E53745">
      <w:pPr>
        <w:pStyle w:val="ListParagraph"/>
        <w:tabs>
          <w:tab w:val="left" w:pos="3380"/>
        </w:tabs>
      </w:pPr>
    </w:p>
    <w:p w14:paraId="749DF538" w14:textId="77777777" w:rsidR="00835FC9" w:rsidRDefault="00835FC9" w:rsidP="00E53745">
      <w:pPr>
        <w:pStyle w:val="ListParagraph"/>
        <w:tabs>
          <w:tab w:val="left" w:pos="3380"/>
        </w:tabs>
      </w:pPr>
    </w:p>
    <w:p w14:paraId="16804ACD" w14:textId="77777777" w:rsidR="00835FC9" w:rsidRDefault="00835FC9" w:rsidP="00E53745">
      <w:pPr>
        <w:pStyle w:val="ListParagraph"/>
        <w:tabs>
          <w:tab w:val="left" w:pos="3380"/>
        </w:tabs>
      </w:pPr>
    </w:p>
    <w:p w14:paraId="03F2EC6B" w14:textId="77777777" w:rsidR="00835FC9" w:rsidRDefault="00835FC9" w:rsidP="00E53745">
      <w:pPr>
        <w:pStyle w:val="ListParagraph"/>
        <w:tabs>
          <w:tab w:val="left" w:pos="3380"/>
        </w:tabs>
      </w:pPr>
    </w:p>
    <w:p w14:paraId="3DD446BB" w14:textId="77777777" w:rsidR="00835FC9" w:rsidRDefault="00835FC9" w:rsidP="00E53745">
      <w:pPr>
        <w:pStyle w:val="ListParagraph"/>
        <w:tabs>
          <w:tab w:val="left" w:pos="3380"/>
        </w:tabs>
      </w:pPr>
    </w:p>
    <w:p w14:paraId="0503D2CC" w14:textId="77777777" w:rsidR="00835FC9" w:rsidRDefault="00835FC9" w:rsidP="00E53745">
      <w:pPr>
        <w:pStyle w:val="ListParagraph"/>
        <w:tabs>
          <w:tab w:val="left" w:pos="3380"/>
        </w:tabs>
      </w:pPr>
    </w:p>
    <w:p w14:paraId="58792443" w14:textId="77777777" w:rsidR="00835FC9" w:rsidRDefault="00835FC9" w:rsidP="00E53745">
      <w:pPr>
        <w:pStyle w:val="ListParagraph"/>
        <w:tabs>
          <w:tab w:val="left" w:pos="3380"/>
        </w:tabs>
      </w:pPr>
    </w:p>
    <w:p w14:paraId="1EA263B5" w14:textId="77777777" w:rsidR="00835FC9" w:rsidRDefault="00835FC9" w:rsidP="00E53745">
      <w:pPr>
        <w:pStyle w:val="ListParagraph"/>
        <w:tabs>
          <w:tab w:val="left" w:pos="3380"/>
        </w:tabs>
      </w:pPr>
    </w:p>
    <w:p w14:paraId="328F676A" w14:textId="77777777" w:rsidR="00835FC9" w:rsidRDefault="00835FC9" w:rsidP="00E53745">
      <w:pPr>
        <w:pStyle w:val="ListParagraph"/>
        <w:tabs>
          <w:tab w:val="left" w:pos="3380"/>
        </w:tabs>
      </w:pPr>
    </w:p>
    <w:p w14:paraId="1F49BEB8" w14:textId="77777777" w:rsidR="00835FC9" w:rsidRDefault="00835FC9" w:rsidP="00E53745">
      <w:pPr>
        <w:pStyle w:val="ListParagraph"/>
        <w:tabs>
          <w:tab w:val="left" w:pos="3380"/>
        </w:tabs>
      </w:pPr>
    </w:p>
    <w:p w14:paraId="38FFA3CE" w14:textId="77777777" w:rsidR="00835FC9" w:rsidRDefault="00835FC9" w:rsidP="00E53745">
      <w:pPr>
        <w:pStyle w:val="ListParagraph"/>
        <w:tabs>
          <w:tab w:val="left" w:pos="3380"/>
        </w:tabs>
      </w:pPr>
    </w:p>
    <w:p w14:paraId="1F05EAD0" w14:textId="77777777" w:rsidR="000977BA" w:rsidRDefault="000977BA" w:rsidP="00E53745">
      <w:pPr>
        <w:pStyle w:val="ListParagraph"/>
        <w:tabs>
          <w:tab w:val="left" w:pos="3380"/>
        </w:tabs>
      </w:pPr>
    </w:p>
    <w:p w14:paraId="4D3FA5A4" w14:textId="7BE093F0" w:rsidR="000977BA" w:rsidRDefault="00BD565B" w:rsidP="00E53745">
      <w:pPr>
        <w:pStyle w:val="ListParagraph"/>
        <w:tabs>
          <w:tab w:val="left" w:pos="3380"/>
        </w:tabs>
      </w:pPr>
      <w:r>
        <w:t xml:space="preserve">APPENDIX’S </w:t>
      </w:r>
    </w:p>
    <w:p w14:paraId="1A06CBA8" w14:textId="77777777" w:rsidR="00A269A9" w:rsidRDefault="00A269A9" w:rsidP="00E53745">
      <w:pPr>
        <w:pStyle w:val="ListParagraph"/>
        <w:tabs>
          <w:tab w:val="left" w:pos="3380"/>
        </w:tabs>
      </w:pPr>
    </w:p>
    <w:p w14:paraId="7FFDC865" w14:textId="33F84694" w:rsidR="00A269A9" w:rsidRDefault="00C74026" w:rsidP="00A269A9">
      <w:pPr>
        <w:pStyle w:val="ListParagraph"/>
        <w:numPr>
          <w:ilvl w:val="0"/>
          <w:numId w:val="28"/>
        </w:numPr>
        <w:tabs>
          <w:tab w:val="left" w:pos="3380"/>
        </w:tabs>
      </w:pPr>
      <w:r>
        <w:t>By proceeding, you indicate that you understand the information provided and agree to participate in this study</w:t>
      </w:r>
      <w:r w:rsidR="00232B14">
        <w:t>?</w:t>
      </w:r>
    </w:p>
    <w:p w14:paraId="0E726807" w14:textId="35ADAD13" w:rsidR="00835FC9" w:rsidRDefault="00687FEF" w:rsidP="00687FEF">
      <w:pPr>
        <w:pStyle w:val="ListParagraph"/>
        <w:numPr>
          <w:ilvl w:val="0"/>
          <w:numId w:val="29"/>
        </w:numPr>
        <w:tabs>
          <w:tab w:val="left" w:pos="3380"/>
        </w:tabs>
      </w:pPr>
      <w:r>
        <w:t>Yes/No</w:t>
      </w:r>
    </w:p>
    <w:p w14:paraId="527D1797" w14:textId="7B7FA4A5" w:rsidR="00232B14" w:rsidRDefault="006047DB" w:rsidP="00A269A9">
      <w:pPr>
        <w:pStyle w:val="ListParagraph"/>
        <w:numPr>
          <w:ilvl w:val="0"/>
          <w:numId w:val="28"/>
        </w:numPr>
        <w:tabs>
          <w:tab w:val="left" w:pos="3380"/>
        </w:tabs>
      </w:pPr>
      <w:r w:rsidRPr="006047DB">
        <w:t>Name</w:t>
      </w:r>
    </w:p>
    <w:p w14:paraId="50824981" w14:textId="0DF0B2F2" w:rsidR="00C15D43" w:rsidRDefault="00C15D43" w:rsidP="00A269A9">
      <w:pPr>
        <w:pStyle w:val="ListParagraph"/>
        <w:numPr>
          <w:ilvl w:val="0"/>
          <w:numId w:val="28"/>
        </w:numPr>
        <w:tabs>
          <w:tab w:val="left" w:pos="3380"/>
        </w:tabs>
      </w:pPr>
      <w:r>
        <w:t>Age</w:t>
      </w:r>
    </w:p>
    <w:p w14:paraId="550E1E1E" w14:textId="21BA0A0B" w:rsidR="00C1659E" w:rsidRDefault="00C1659E" w:rsidP="00C1659E">
      <w:pPr>
        <w:pStyle w:val="ListParagraph"/>
        <w:numPr>
          <w:ilvl w:val="0"/>
          <w:numId w:val="29"/>
        </w:numPr>
        <w:tabs>
          <w:tab w:val="left" w:pos="3380"/>
        </w:tabs>
      </w:pPr>
      <w:r>
        <w:t>20-25/25-30/30-35</w:t>
      </w:r>
    </w:p>
    <w:p w14:paraId="35506A58" w14:textId="48695F40" w:rsidR="00687FEF" w:rsidRDefault="00C15D43" w:rsidP="00C15D43">
      <w:pPr>
        <w:tabs>
          <w:tab w:val="left" w:pos="3380"/>
        </w:tabs>
      </w:pPr>
      <w:r>
        <w:t xml:space="preserve">      </w:t>
      </w:r>
    </w:p>
    <w:p w14:paraId="1ED46874" w14:textId="73CB18D4" w:rsidR="006047DB" w:rsidRDefault="000C48A7" w:rsidP="00A269A9">
      <w:pPr>
        <w:pStyle w:val="ListParagraph"/>
        <w:numPr>
          <w:ilvl w:val="0"/>
          <w:numId w:val="28"/>
        </w:numPr>
        <w:tabs>
          <w:tab w:val="left" w:pos="3380"/>
        </w:tabs>
      </w:pPr>
      <w:r>
        <w:t>Gender</w:t>
      </w:r>
    </w:p>
    <w:p w14:paraId="47C78DCD" w14:textId="19741F88" w:rsidR="00C36A1C" w:rsidRDefault="00577067" w:rsidP="00C36A1C">
      <w:pPr>
        <w:pStyle w:val="ListParagraph"/>
        <w:numPr>
          <w:ilvl w:val="0"/>
          <w:numId w:val="29"/>
        </w:numPr>
        <w:tabs>
          <w:tab w:val="left" w:pos="3380"/>
        </w:tabs>
      </w:pPr>
      <w:r>
        <w:t>Male/Female</w:t>
      </w:r>
      <w:r w:rsidR="004326BD">
        <w:t>/</w:t>
      </w:r>
      <w:r>
        <w:t>Other</w:t>
      </w:r>
      <w:r w:rsidR="004326BD">
        <w:t>/</w:t>
      </w:r>
      <w:r>
        <w:t>No</w:t>
      </w:r>
    </w:p>
    <w:p w14:paraId="5E639187" w14:textId="3965A0D0" w:rsidR="000C48A7" w:rsidRDefault="003221FE" w:rsidP="00A269A9">
      <w:pPr>
        <w:pStyle w:val="ListParagraph"/>
        <w:numPr>
          <w:ilvl w:val="0"/>
          <w:numId w:val="28"/>
        </w:numPr>
        <w:tabs>
          <w:tab w:val="left" w:pos="3380"/>
        </w:tabs>
      </w:pPr>
      <w:proofErr w:type="gramStart"/>
      <w:r>
        <w:t>Department(</w:t>
      </w:r>
      <w:proofErr w:type="gramEnd"/>
      <w:r>
        <w:t>specialized stream)</w:t>
      </w:r>
    </w:p>
    <w:p w14:paraId="3919D00F" w14:textId="796D5E1E" w:rsidR="00C36A1C" w:rsidRDefault="00274478" w:rsidP="00C36A1C">
      <w:pPr>
        <w:pStyle w:val="ListParagraph"/>
        <w:numPr>
          <w:ilvl w:val="0"/>
          <w:numId w:val="29"/>
        </w:numPr>
        <w:tabs>
          <w:tab w:val="left" w:pos="3380"/>
        </w:tabs>
      </w:pPr>
      <w:r w:rsidRPr="00274478">
        <w:lastRenderedPageBreak/>
        <w:t>Psychiatric Social Work (MPSW)</w:t>
      </w:r>
      <w:r w:rsidR="00C15D43">
        <w:t>/Family and Child Welfare (FCW)/Community Development (CD)</w:t>
      </w:r>
    </w:p>
    <w:p w14:paraId="773C1AB2" w14:textId="0F0B09DB" w:rsidR="003221FE" w:rsidRDefault="00762DCB" w:rsidP="00A269A9">
      <w:pPr>
        <w:pStyle w:val="ListParagraph"/>
        <w:numPr>
          <w:ilvl w:val="0"/>
          <w:numId w:val="28"/>
        </w:numPr>
        <w:tabs>
          <w:tab w:val="left" w:pos="3380"/>
        </w:tabs>
      </w:pPr>
      <w:r>
        <w:t xml:space="preserve">Are you aware of key gender-specific challenges (e.g., pay gap, domestic violence, unequal access to education) faced by women and marginalized genders in your community? </w:t>
      </w:r>
    </w:p>
    <w:p w14:paraId="29A249EF" w14:textId="2228872D" w:rsidR="00C36A1C" w:rsidRDefault="00644456" w:rsidP="00C36A1C">
      <w:pPr>
        <w:pStyle w:val="ListParagraph"/>
        <w:numPr>
          <w:ilvl w:val="0"/>
          <w:numId w:val="29"/>
        </w:numPr>
        <w:tabs>
          <w:tab w:val="left" w:pos="3380"/>
        </w:tabs>
      </w:pPr>
      <w:r>
        <w:t>Yes/No</w:t>
      </w:r>
    </w:p>
    <w:p w14:paraId="6C3F436D" w14:textId="41F71E6D" w:rsidR="00762DCB" w:rsidRDefault="00BA0880" w:rsidP="00A269A9">
      <w:pPr>
        <w:pStyle w:val="ListParagraph"/>
        <w:numPr>
          <w:ilvl w:val="0"/>
          <w:numId w:val="28"/>
        </w:numPr>
        <w:tabs>
          <w:tab w:val="left" w:pos="3380"/>
        </w:tabs>
      </w:pPr>
      <w:r>
        <w:t>Have you received formal training or education on addressing gender inequalities in your social work practice?</w:t>
      </w:r>
    </w:p>
    <w:p w14:paraId="1FC5CB34" w14:textId="6F08A96B" w:rsidR="00CA7F3B" w:rsidRDefault="00644456" w:rsidP="00CA7F3B">
      <w:pPr>
        <w:pStyle w:val="ListParagraph"/>
        <w:numPr>
          <w:ilvl w:val="0"/>
          <w:numId w:val="29"/>
        </w:numPr>
        <w:tabs>
          <w:tab w:val="left" w:pos="3380"/>
        </w:tabs>
      </w:pPr>
      <w:r>
        <w:t>Yes/No</w:t>
      </w:r>
    </w:p>
    <w:p w14:paraId="65A23518" w14:textId="20FBDB90" w:rsidR="00BA0880" w:rsidRDefault="006F066D" w:rsidP="00A269A9">
      <w:pPr>
        <w:pStyle w:val="ListParagraph"/>
        <w:numPr>
          <w:ilvl w:val="0"/>
          <w:numId w:val="28"/>
        </w:numPr>
        <w:tabs>
          <w:tab w:val="left" w:pos="3380"/>
        </w:tabs>
      </w:pPr>
      <w:r>
        <w:t xml:space="preserve">Do you actively use gender-sensitive approaches (e.g., tailored communication, resource allocation) when working with clients?  </w:t>
      </w:r>
    </w:p>
    <w:p w14:paraId="01D2058D" w14:textId="5E8679AA" w:rsidR="00CA7F3B" w:rsidRDefault="00644456" w:rsidP="00CA7F3B">
      <w:pPr>
        <w:pStyle w:val="ListParagraph"/>
        <w:numPr>
          <w:ilvl w:val="0"/>
          <w:numId w:val="29"/>
        </w:numPr>
        <w:tabs>
          <w:tab w:val="left" w:pos="3380"/>
        </w:tabs>
      </w:pPr>
      <w:r>
        <w:t>Yes/No</w:t>
      </w:r>
    </w:p>
    <w:p w14:paraId="4D5C7E17" w14:textId="1D23A75A" w:rsidR="006F066D" w:rsidRDefault="00E94198" w:rsidP="00A269A9">
      <w:pPr>
        <w:pStyle w:val="ListParagraph"/>
        <w:numPr>
          <w:ilvl w:val="0"/>
          <w:numId w:val="28"/>
        </w:numPr>
        <w:tabs>
          <w:tab w:val="left" w:pos="3380"/>
        </w:tabs>
      </w:pPr>
      <w:r>
        <w:t xml:space="preserve">Do you believe that social workers have a responsibility to challenge gender stereotypes and biases in their interventions? </w:t>
      </w:r>
    </w:p>
    <w:p w14:paraId="1E7520E5" w14:textId="0FC81EB8" w:rsidR="00CA7F3B" w:rsidRDefault="00644456" w:rsidP="00CA7F3B">
      <w:pPr>
        <w:pStyle w:val="ListParagraph"/>
        <w:numPr>
          <w:ilvl w:val="0"/>
          <w:numId w:val="29"/>
        </w:numPr>
        <w:tabs>
          <w:tab w:val="left" w:pos="3380"/>
        </w:tabs>
      </w:pPr>
      <w:r>
        <w:t>Yes/No</w:t>
      </w:r>
    </w:p>
    <w:p w14:paraId="24A96585" w14:textId="56C652A3" w:rsidR="00E94198" w:rsidRDefault="009A53FD" w:rsidP="00A269A9">
      <w:pPr>
        <w:pStyle w:val="ListParagraph"/>
        <w:numPr>
          <w:ilvl w:val="0"/>
          <w:numId w:val="28"/>
        </w:numPr>
        <w:tabs>
          <w:tab w:val="left" w:pos="3380"/>
        </w:tabs>
      </w:pPr>
      <w:r>
        <w:t xml:space="preserve">Have you faced challenges (e.g., lack of resources, cultural resistance) while addressing gender-related issues in your work?  </w:t>
      </w:r>
    </w:p>
    <w:p w14:paraId="6693B1A6" w14:textId="0A456B91" w:rsidR="00CA7F3B" w:rsidRDefault="00644456" w:rsidP="00CA7F3B">
      <w:pPr>
        <w:pStyle w:val="ListParagraph"/>
        <w:numPr>
          <w:ilvl w:val="0"/>
          <w:numId w:val="29"/>
        </w:numPr>
        <w:tabs>
          <w:tab w:val="left" w:pos="3380"/>
        </w:tabs>
      </w:pPr>
      <w:r>
        <w:t>Yes/No</w:t>
      </w:r>
    </w:p>
    <w:p w14:paraId="397116F1" w14:textId="77777777" w:rsidR="00644456" w:rsidRDefault="00644456" w:rsidP="00644456">
      <w:pPr>
        <w:pStyle w:val="ListParagraph"/>
        <w:tabs>
          <w:tab w:val="left" w:pos="3380"/>
        </w:tabs>
        <w:ind w:left="2160"/>
      </w:pPr>
    </w:p>
    <w:p w14:paraId="3D7A9432" w14:textId="2DA5E03B" w:rsidR="009A53FD" w:rsidRDefault="0085317C" w:rsidP="00A269A9">
      <w:pPr>
        <w:pStyle w:val="ListParagraph"/>
        <w:numPr>
          <w:ilvl w:val="0"/>
          <w:numId w:val="28"/>
        </w:numPr>
        <w:tabs>
          <w:tab w:val="left" w:pos="3380"/>
        </w:tabs>
      </w:pPr>
      <w:r>
        <w:t xml:space="preserve">Are you aware of the common forms of gender-based violence (e.g., domestic abuse, sexual violence, coercive control) in your community?  </w:t>
      </w:r>
    </w:p>
    <w:p w14:paraId="06829219" w14:textId="0D893FD6" w:rsidR="00CA7F3B" w:rsidRDefault="008B74C0" w:rsidP="009B6A42">
      <w:pPr>
        <w:pStyle w:val="ListParagraph"/>
        <w:numPr>
          <w:ilvl w:val="0"/>
          <w:numId w:val="29"/>
        </w:numPr>
        <w:tabs>
          <w:tab w:val="left" w:pos="3380"/>
        </w:tabs>
      </w:pPr>
      <w:r>
        <w:t>Yes/ No</w:t>
      </w:r>
    </w:p>
    <w:p w14:paraId="42C47762" w14:textId="77777777" w:rsidR="009B6A42" w:rsidRDefault="009B6A42" w:rsidP="009B6A42">
      <w:pPr>
        <w:tabs>
          <w:tab w:val="left" w:pos="3380"/>
        </w:tabs>
      </w:pPr>
    </w:p>
    <w:p w14:paraId="176E4105" w14:textId="375A6546" w:rsidR="0085317C" w:rsidRDefault="009C2D29" w:rsidP="00A269A9">
      <w:pPr>
        <w:pStyle w:val="ListParagraph"/>
        <w:numPr>
          <w:ilvl w:val="0"/>
          <w:numId w:val="28"/>
        </w:numPr>
        <w:tabs>
          <w:tab w:val="left" w:pos="3380"/>
        </w:tabs>
      </w:pPr>
      <w:r>
        <w:t xml:space="preserve">Have you received specialized training on identifying and responding to GBV cases in your professional practice?  </w:t>
      </w:r>
    </w:p>
    <w:p w14:paraId="497A4CC7" w14:textId="282487CE" w:rsidR="009B6A42" w:rsidRDefault="008B74C0" w:rsidP="009B6A42">
      <w:pPr>
        <w:pStyle w:val="ListParagraph"/>
        <w:numPr>
          <w:ilvl w:val="0"/>
          <w:numId w:val="29"/>
        </w:numPr>
        <w:tabs>
          <w:tab w:val="left" w:pos="3380"/>
        </w:tabs>
      </w:pPr>
      <w:r>
        <w:t>Yes/No</w:t>
      </w:r>
    </w:p>
    <w:p w14:paraId="7708F09B" w14:textId="585F8C5B" w:rsidR="009C2D29" w:rsidRDefault="008A2179" w:rsidP="00A269A9">
      <w:pPr>
        <w:pStyle w:val="ListParagraph"/>
        <w:numPr>
          <w:ilvl w:val="0"/>
          <w:numId w:val="28"/>
        </w:numPr>
        <w:tabs>
          <w:tab w:val="left" w:pos="3380"/>
        </w:tabs>
      </w:pPr>
      <w:r>
        <w:t>Do you feel confident in your ability to support survivors of GBV (e.g., providing referrals, safety planning)?</w:t>
      </w:r>
    </w:p>
    <w:p w14:paraId="0FB20DA6" w14:textId="0A50C400" w:rsidR="009B6A42" w:rsidRDefault="008B74C0" w:rsidP="009B6A42">
      <w:pPr>
        <w:pStyle w:val="ListParagraph"/>
        <w:numPr>
          <w:ilvl w:val="0"/>
          <w:numId w:val="29"/>
        </w:numPr>
        <w:tabs>
          <w:tab w:val="left" w:pos="3380"/>
        </w:tabs>
      </w:pPr>
      <w:r>
        <w:t>Yes/</w:t>
      </w:r>
      <w:r w:rsidR="001158DF">
        <w:t>No</w:t>
      </w:r>
    </w:p>
    <w:p w14:paraId="7D119226" w14:textId="08D821CA" w:rsidR="00232B14" w:rsidRDefault="000471CD" w:rsidP="000471CD">
      <w:pPr>
        <w:pStyle w:val="ListParagraph"/>
        <w:numPr>
          <w:ilvl w:val="0"/>
          <w:numId w:val="28"/>
        </w:numPr>
        <w:tabs>
          <w:tab w:val="left" w:pos="3380"/>
        </w:tabs>
      </w:pPr>
      <w:r>
        <w:t xml:space="preserve">Do you believe GBV is a systemic issue requiring policy-level interventions, not just individual solutions? </w:t>
      </w:r>
    </w:p>
    <w:p w14:paraId="47982548" w14:textId="355FDEE6" w:rsidR="009B6A42" w:rsidRDefault="001158DF" w:rsidP="009B6A42">
      <w:pPr>
        <w:pStyle w:val="ListParagraph"/>
        <w:numPr>
          <w:ilvl w:val="0"/>
          <w:numId w:val="29"/>
        </w:numPr>
        <w:tabs>
          <w:tab w:val="left" w:pos="3380"/>
        </w:tabs>
      </w:pPr>
      <w:r>
        <w:t>Yes/No</w:t>
      </w:r>
    </w:p>
    <w:p w14:paraId="56AA3ECD" w14:textId="634A7669" w:rsidR="000471CD" w:rsidRDefault="00352219" w:rsidP="000471CD">
      <w:pPr>
        <w:pStyle w:val="ListParagraph"/>
        <w:numPr>
          <w:ilvl w:val="0"/>
          <w:numId w:val="28"/>
        </w:numPr>
        <w:tabs>
          <w:tab w:val="left" w:pos="3380"/>
        </w:tabs>
      </w:pPr>
      <w:r>
        <w:t xml:space="preserve">Do you believe GBV is a systemic issue requiring policy-level interventions, not just individual solutions? </w:t>
      </w:r>
    </w:p>
    <w:p w14:paraId="694D8395" w14:textId="32879DF4" w:rsidR="009B6A42" w:rsidRDefault="001158DF" w:rsidP="009B6A42">
      <w:pPr>
        <w:pStyle w:val="ListParagraph"/>
        <w:numPr>
          <w:ilvl w:val="0"/>
          <w:numId w:val="29"/>
        </w:numPr>
        <w:tabs>
          <w:tab w:val="left" w:pos="3380"/>
        </w:tabs>
      </w:pPr>
      <w:r>
        <w:lastRenderedPageBreak/>
        <w:t>Yes/No</w:t>
      </w:r>
    </w:p>
    <w:p w14:paraId="2C1652E9" w14:textId="4AB631F5" w:rsidR="00352219" w:rsidRDefault="005929F5" w:rsidP="000471CD">
      <w:pPr>
        <w:pStyle w:val="ListParagraph"/>
        <w:numPr>
          <w:ilvl w:val="0"/>
          <w:numId w:val="28"/>
        </w:numPr>
        <w:tabs>
          <w:tab w:val="left" w:pos="3380"/>
        </w:tabs>
      </w:pPr>
      <w:r>
        <w:t>Are there specific areas where you feel additional training/resources (e.g., trauma-informed care for GBV, legal frameworks, men’s role in gender equality) would improve your practice?</w:t>
      </w:r>
    </w:p>
    <w:p w14:paraId="4419D0C3" w14:textId="5F164040" w:rsidR="00542FDF" w:rsidRDefault="001158DF" w:rsidP="00542FDF">
      <w:pPr>
        <w:pStyle w:val="ListParagraph"/>
        <w:numPr>
          <w:ilvl w:val="0"/>
          <w:numId w:val="29"/>
        </w:numPr>
        <w:tabs>
          <w:tab w:val="left" w:pos="3380"/>
        </w:tabs>
      </w:pPr>
      <w:r>
        <w:t>Yes/No</w:t>
      </w:r>
    </w:p>
    <w:p w14:paraId="14B35785" w14:textId="1634DEE7" w:rsidR="005929F5" w:rsidRDefault="00E943C8" w:rsidP="000471CD">
      <w:pPr>
        <w:pStyle w:val="ListParagraph"/>
        <w:numPr>
          <w:ilvl w:val="0"/>
          <w:numId w:val="28"/>
        </w:numPr>
        <w:tabs>
          <w:tab w:val="left" w:pos="3380"/>
        </w:tabs>
      </w:pPr>
      <w:r w:rsidRPr="00E943C8">
        <w:t>Have you faced challenges (e.g., victim-blaming attitudes, lack of legal support) when addressing GBV cases?</w:t>
      </w:r>
    </w:p>
    <w:p w14:paraId="7DAD92DD" w14:textId="3738C4D8" w:rsidR="00542FDF" w:rsidRDefault="001158DF" w:rsidP="00542FDF">
      <w:pPr>
        <w:pStyle w:val="ListParagraph"/>
        <w:numPr>
          <w:ilvl w:val="0"/>
          <w:numId w:val="29"/>
        </w:numPr>
        <w:tabs>
          <w:tab w:val="left" w:pos="3380"/>
        </w:tabs>
      </w:pPr>
      <w:r>
        <w:t>Yes</w:t>
      </w:r>
      <w:r w:rsidR="00B731A6">
        <w:t>/No</w:t>
      </w:r>
    </w:p>
    <w:p w14:paraId="59CBC7EA" w14:textId="4B45866A" w:rsidR="008C484A" w:rsidRDefault="002C0102" w:rsidP="000471CD">
      <w:pPr>
        <w:pStyle w:val="ListParagraph"/>
        <w:numPr>
          <w:ilvl w:val="0"/>
          <w:numId w:val="28"/>
        </w:numPr>
        <w:tabs>
          <w:tab w:val="left" w:pos="3380"/>
        </w:tabs>
      </w:pPr>
      <w:r>
        <w:t xml:space="preserve">Have you received formal training on gender-sensitive practices (e.g., addressing biases, inclusive language, intersectional approaches) in your social work education/career?  </w:t>
      </w:r>
    </w:p>
    <w:p w14:paraId="68F93CFB" w14:textId="62FD411A" w:rsidR="00542FDF" w:rsidRDefault="001158DF" w:rsidP="00542FDF">
      <w:pPr>
        <w:pStyle w:val="ListParagraph"/>
        <w:numPr>
          <w:ilvl w:val="0"/>
          <w:numId w:val="29"/>
        </w:numPr>
        <w:tabs>
          <w:tab w:val="left" w:pos="3380"/>
        </w:tabs>
      </w:pPr>
      <w:r>
        <w:t>Yes/No</w:t>
      </w:r>
    </w:p>
    <w:p w14:paraId="22581A0E" w14:textId="2AE48B55" w:rsidR="002C0102" w:rsidRDefault="006879D5" w:rsidP="000471CD">
      <w:pPr>
        <w:pStyle w:val="ListParagraph"/>
        <w:numPr>
          <w:ilvl w:val="0"/>
          <w:numId w:val="28"/>
        </w:numPr>
        <w:tabs>
          <w:tab w:val="left" w:pos="3380"/>
        </w:tabs>
      </w:pPr>
      <w:proofErr w:type="gramStart"/>
      <w:r>
        <w:t>Are</w:t>
      </w:r>
      <w:proofErr w:type="gramEnd"/>
      <w:r>
        <w:t xml:space="preserve"> there sufficient gender-specific resources (e.g., guidelines, toolkits, referral networks) available in your workplace to support GBV survivors or gender-diverse clients?  </w:t>
      </w:r>
    </w:p>
    <w:p w14:paraId="78010CBD" w14:textId="7A3E876F" w:rsidR="004D4FB5" w:rsidRDefault="00B731A6" w:rsidP="004D4FB5">
      <w:pPr>
        <w:pStyle w:val="ListParagraph"/>
        <w:numPr>
          <w:ilvl w:val="0"/>
          <w:numId w:val="29"/>
        </w:numPr>
        <w:tabs>
          <w:tab w:val="left" w:pos="3380"/>
        </w:tabs>
      </w:pPr>
      <w:r>
        <w:t>Yes/No</w:t>
      </w:r>
    </w:p>
    <w:p w14:paraId="18FBE627" w14:textId="77777777" w:rsidR="00B731A6" w:rsidRDefault="00B731A6" w:rsidP="00B731A6">
      <w:pPr>
        <w:pStyle w:val="ListParagraph"/>
        <w:tabs>
          <w:tab w:val="left" w:pos="3380"/>
        </w:tabs>
        <w:ind w:left="2160"/>
      </w:pPr>
    </w:p>
    <w:p w14:paraId="299C3C33" w14:textId="77777777" w:rsidR="00542FDF" w:rsidRDefault="00542FDF" w:rsidP="00542FDF">
      <w:pPr>
        <w:pStyle w:val="ListParagraph"/>
        <w:tabs>
          <w:tab w:val="left" w:pos="3380"/>
        </w:tabs>
        <w:ind w:left="1440"/>
      </w:pPr>
    </w:p>
    <w:p w14:paraId="57D17EAD" w14:textId="4CF68BC6" w:rsidR="006879D5" w:rsidRDefault="00D954D9" w:rsidP="000471CD">
      <w:pPr>
        <w:pStyle w:val="ListParagraph"/>
        <w:numPr>
          <w:ilvl w:val="0"/>
          <w:numId w:val="28"/>
        </w:numPr>
        <w:tabs>
          <w:tab w:val="left" w:pos="3380"/>
        </w:tabs>
      </w:pPr>
      <w:r>
        <w:t xml:space="preserve">Do you feel adequately prepared to address gender-related challenges (e.g., discrimination, LGBTQ+ issues, cultural barriers) in your work? </w:t>
      </w:r>
    </w:p>
    <w:p w14:paraId="1E1F1656" w14:textId="15335555" w:rsidR="004D4FB5" w:rsidRDefault="00B731A6" w:rsidP="004D4FB5">
      <w:pPr>
        <w:pStyle w:val="ListParagraph"/>
        <w:numPr>
          <w:ilvl w:val="0"/>
          <w:numId w:val="29"/>
        </w:numPr>
        <w:tabs>
          <w:tab w:val="left" w:pos="3380"/>
        </w:tabs>
      </w:pPr>
      <w:r>
        <w:t>Yes/No</w:t>
      </w:r>
    </w:p>
    <w:p w14:paraId="73D1459A" w14:textId="71A90243" w:rsidR="00D954D9" w:rsidRDefault="00835FC9" w:rsidP="000471CD">
      <w:pPr>
        <w:pStyle w:val="ListParagraph"/>
        <w:numPr>
          <w:ilvl w:val="0"/>
          <w:numId w:val="28"/>
        </w:numPr>
        <w:tabs>
          <w:tab w:val="left" w:pos="3380"/>
        </w:tabs>
      </w:pPr>
      <w:r>
        <w:t xml:space="preserve">Does your organization provide ongoing training or workshops to improve gender competencies among staff?  </w:t>
      </w:r>
    </w:p>
    <w:p w14:paraId="22E88681" w14:textId="42C89094" w:rsidR="004D4FB5" w:rsidRPr="00C02EAA" w:rsidRDefault="00B731A6" w:rsidP="004D4FB5">
      <w:pPr>
        <w:pStyle w:val="ListParagraph"/>
        <w:numPr>
          <w:ilvl w:val="0"/>
          <w:numId w:val="29"/>
        </w:numPr>
        <w:tabs>
          <w:tab w:val="left" w:pos="3380"/>
        </w:tabs>
      </w:pPr>
      <w:r>
        <w:t>Yes/No</w:t>
      </w:r>
    </w:p>
    <w:sectPr w:rsidR="004D4FB5" w:rsidRPr="00C02EAA" w:rsidSect="000C4BD8">
      <w:headerReference w:type="default" r:id="rId17"/>
      <w:footerReference w:type="default" r:id="rId18"/>
      <w:pgSz w:w="11906" w:h="16838"/>
      <w:pgMar w:top="1440" w:right="1440" w:bottom="1440" w:left="21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505299" w14:textId="77777777" w:rsidR="00A939B1" w:rsidRDefault="00A939B1" w:rsidP="00C513F9">
      <w:pPr>
        <w:spacing w:line="240" w:lineRule="auto"/>
      </w:pPr>
      <w:r>
        <w:separator/>
      </w:r>
    </w:p>
  </w:endnote>
  <w:endnote w:type="continuationSeparator" w:id="0">
    <w:p w14:paraId="41DA379F" w14:textId="77777777" w:rsidR="00A939B1" w:rsidRDefault="00A939B1" w:rsidP="00C513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2990820"/>
      <w:docPartObj>
        <w:docPartGallery w:val="Page Numbers (Bottom of Page)"/>
        <w:docPartUnique/>
      </w:docPartObj>
    </w:sdtPr>
    <w:sdtEndPr>
      <w:rPr>
        <w:noProof/>
      </w:rPr>
    </w:sdtEndPr>
    <w:sdtContent>
      <w:p w14:paraId="655D8EF3" w14:textId="7CFE0D43" w:rsidR="00D120CF" w:rsidRDefault="00D120C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BC640BF" w14:textId="58DB050C" w:rsidR="00BD2565" w:rsidRDefault="00BD25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E78678" w14:textId="77777777" w:rsidR="00A939B1" w:rsidRDefault="00A939B1" w:rsidP="00C513F9">
      <w:pPr>
        <w:spacing w:line="240" w:lineRule="auto"/>
      </w:pPr>
      <w:r>
        <w:separator/>
      </w:r>
    </w:p>
  </w:footnote>
  <w:footnote w:type="continuationSeparator" w:id="0">
    <w:p w14:paraId="512EADC5" w14:textId="77777777" w:rsidR="00A939B1" w:rsidRDefault="00A939B1" w:rsidP="00C513F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14ABDA" w14:textId="756E761D" w:rsidR="005D0785" w:rsidRDefault="00F4745B">
    <w:pPr>
      <w:pStyle w:val="Header"/>
    </w:pPr>
    <w:r>
      <w:t xml:space="preserve">                                                                                                                                </w:t>
    </w:r>
    <w:r w:rsidR="00F800E9">
      <w:t>Master</w:t>
    </w:r>
    <w:r>
      <w:t xml:space="preserve"> of Social Work</w:t>
    </w:r>
  </w:p>
  <w:p w14:paraId="37A2E0C2" w14:textId="3DAA4914" w:rsidR="00C513F9" w:rsidRDefault="00C513F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6pt;height:.6pt;visibility:visible;mso-wrap-style:square" o:bullet="t">
        <v:imagedata r:id="rId1" o:title=""/>
      </v:shape>
    </w:pict>
  </w:numPicBullet>
  <w:abstractNum w:abstractNumId="0" w15:restartNumberingAfterBreak="0">
    <w:nsid w:val="0EE50D9F"/>
    <w:multiLevelType w:val="hybridMultilevel"/>
    <w:tmpl w:val="6486D3F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15:restartNumberingAfterBreak="0">
    <w:nsid w:val="151C0D9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2567E9"/>
    <w:multiLevelType w:val="hybridMultilevel"/>
    <w:tmpl w:val="EC2ACB8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17AD7142"/>
    <w:multiLevelType w:val="hybridMultilevel"/>
    <w:tmpl w:val="928EEFC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8E54D62"/>
    <w:multiLevelType w:val="hybridMultilevel"/>
    <w:tmpl w:val="80EC658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1C286320"/>
    <w:multiLevelType w:val="hybridMultilevel"/>
    <w:tmpl w:val="32F8B46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22875CC7"/>
    <w:multiLevelType w:val="hybridMultilevel"/>
    <w:tmpl w:val="EBCC82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30E802DC"/>
    <w:multiLevelType w:val="hybridMultilevel"/>
    <w:tmpl w:val="CE96E29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12101B"/>
    <w:multiLevelType w:val="hybridMultilevel"/>
    <w:tmpl w:val="C0BC69F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33FD393B"/>
    <w:multiLevelType w:val="hybridMultilevel"/>
    <w:tmpl w:val="ACD0391C"/>
    <w:lvl w:ilvl="0" w:tplc="FFFFFFFF">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5233517"/>
    <w:multiLevelType w:val="hybridMultilevel"/>
    <w:tmpl w:val="E4C04D70"/>
    <w:lvl w:ilvl="0" w:tplc="FFFFFFFF">
      <w:numFmt w:val="bullet"/>
      <w:lvlText w:val="•"/>
      <w:lvlJc w:val="left"/>
      <w:pPr>
        <w:ind w:left="1488" w:hanging="360"/>
      </w:pPr>
      <w:rPr>
        <w:rFonts w:ascii="Calibri" w:eastAsiaTheme="minorHAnsi" w:hAnsi="Calibri" w:cs="Calibri" w:hint="default"/>
      </w:rPr>
    </w:lvl>
    <w:lvl w:ilvl="1" w:tplc="04090003" w:tentative="1">
      <w:start w:val="1"/>
      <w:numFmt w:val="bullet"/>
      <w:lvlText w:val="o"/>
      <w:lvlJc w:val="left"/>
      <w:pPr>
        <w:ind w:left="2208" w:hanging="360"/>
      </w:pPr>
      <w:rPr>
        <w:rFonts w:ascii="Courier New" w:hAnsi="Courier New" w:cs="Courier New" w:hint="default"/>
      </w:rPr>
    </w:lvl>
    <w:lvl w:ilvl="2" w:tplc="04090005" w:tentative="1">
      <w:start w:val="1"/>
      <w:numFmt w:val="bullet"/>
      <w:lvlText w:val=""/>
      <w:lvlJc w:val="left"/>
      <w:pPr>
        <w:ind w:left="2928" w:hanging="360"/>
      </w:pPr>
      <w:rPr>
        <w:rFonts w:ascii="Wingdings" w:hAnsi="Wingdings" w:hint="default"/>
      </w:rPr>
    </w:lvl>
    <w:lvl w:ilvl="3" w:tplc="04090001" w:tentative="1">
      <w:start w:val="1"/>
      <w:numFmt w:val="bullet"/>
      <w:lvlText w:val=""/>
      <w:lvlJc w:val="left"/>
      <w:pPr>
        <w:ind w:left="3648" w:hanging="360"/>
      </w:pPr>
      <w:rPr>
        <w:rFonts w:ascii="Symbol" w:hAnsi="Symbol" w:hint="default"/>
      </w:rPr>
    </w:lvl>
    <w:lvl w:ilvl="4" w:tplc="04090003" w:tentative="1">
      <w:start w:val="1"/>
      <w:numFmt w:val="bullet"/>
      <w:lvlText w:val="o"/>
      <w:lvlJc w:val="left"/>
      <w:pPr>
        <w:ind w:left="4368" w:hanging="360"/>
      </w:pPr>
      <w:rPr>
        <w:rFonts w:ascii="Courier New" w:hAnsi="Courier New" w:cs="Courier New" w:hint="default"/>
      </w:rPr>
    </w:lvl>
    <w:lvl w:ilvl="5" w:tplc="04090005" w:tentative="1">
      <w:start w:val="1"/>
      <w:numFmt w:val="bullet"/>
      <w:lvlText w:val=""/>
      <w:lvlJc w:val="left"/>
      <w:pPr>
        <w:ind w:left="5088" w:hanging="360"/>
      </w:pPr>
      <w:rPr>
        <w:rFonts w:ascii="Wingdings" w:hAnsi="Wingdings" w:hint="default"/>
      </w:rPr>
    </w:lvl>
    <w:lvl w:ilvl="6" w:tplc="04090001" w:tentative="1">
      <w:start w:val="1"/>
      <w:numFmt w:val="bullet"/>
      <w:lvlText w:val=""/>
      <w:lvlJc w:val="left"/>
      <w:pPr>
        <w:ind w:left="5808" w:hanging="360"/>
      </w:pPr>
      <w:rPr>
        <w:rFonts w:ascii="Symbol" w:hAnsi="Symbol" w:hint="default"/>
      </w:rPr>
    </w:lvl>
    <w:lvl w:ilvl="7" w:tplc="04090003" w:tentative="1">
      <w:start w:val="1"/>
      <w:numFmt w:val="bullet"/>
      <w:lvlText w:val="o"/>
      <w:lvlJc w:val="left"/>
      <w:pPr>
        <w:ind w:left="6528" w:hanging="360"/>
      </w:pPr>
      <w:rPr>
        <w:rFonts w:ascii="Courier New" w:hAnsi="Courier New" w:cs="Courier New" w:hint="default"/>
      </w:rPr>
    </w:lvl>
    <w:lvl w:ilvl="8" w:tplc="04090005" w:tentative="1">
      <w:start w:val="1"/>
      <w:numFmt w:val="bullet"/>
      <w:lvlText w:val=""/>
      <w:lvlJc w:val="left"/>
      <w:pPr>
        <w:ind w:left="7248" w:hanging="360"/>
      </w:pPr>
      <w:rPr>
        <w:rFonts w:ascii="Wingdings" w:hAnsi="Wingdings" w:hint="default"/>
      </w:rPr>
    </w:lvl>
  </w:abstractNum>
  <w:abstractNum w:abstractNumId="11" w15:restartNumberingAfterBreak="0">
    <w:nsid w:val="35AB2603"/>
    <w:multiLevelType w:val="hybridMultilevel"/>
    <w:tmpl w:val="9FC28320"/>
    <w:lvl w:ilvl="0" w:tplc="FFFFFFFF">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C2756D2"/>
    <w:multiLevelType w:val="hybridMultilevel"/>
    <w:tmpl w:val="F5E64092"/>
    <w:lvl w:ilvl="0" w:tplc="40090001">
      <w:start w:val="1"/>
      <w:numFmt w:val="bullet"/>
      <w:lvlText w:val=""/>
      <w:lvlJc w:val="left"/>
      <w:pPr>
        <w:ind w:left="965" w:hanging="360"/>
      </w:pPr>
      <w:rPr>
        <w:rFonts w:ascii="Symbol" w:hAnsi="Symbol" w:hint="default"/>
      </w:rPr>
    </w:lvl>
    <w:lvl w:ilvl="1" w:tplc="40090003" w:tentative="1">
      <w:start w:val="1"/>
      <w:numFmt w:val="bullet"/>
      <w:lvlText w:val="o"/>
      <w:lvlJc w:val="left"/>
      <w:pPr>
        <w:ind w:left="1685" w:hanging="360"/>
      </w:pPr>
      <w:rPr>
        <w:rFonts w:ascii="Courier New" w:hAnsi="Courier New" w:cs="Courier New" w:hint="default"/>
      </w:rPr>
    </w:lvl>
    <w:lvl w:ilvl="2" w:tplc="40090005" w:tentative="1">
      <w:start w:val="1"/>
      <w:numFmt w:val="bullet"/>
      <w:lvlText w:val=""/>
      <w:lvlJc w:val="left"/>
      <w:pPr>
        <w:ind w:left="2405" w:hanging="360"/>
      </w:pPr>
      <w:rPr>
        <w:rFonts w:ascii="Wingdings" w:hAnsi="Wingdings" w:hint="default"/>
      </w:rPr>
    </w:lvl>
    <w:lvl w:ilvl="3" w:tplc="40090001" w:tentative="1">
      <w:start w:val="1"/>
      <w:numFmt w:val="bullet"/>
      <w:lvlText w:val=""/>
      <w:lvlJc w:val="left"/>
      <w:pPr>
        <w:ind w:left="3125" w:hanging="360"/>
      </w:pPr>
      <w:rPr>
        <w:rFonts w:ascii="Symbol" w:hAnsi="Symbol" w:hint="default"/>
      </w:rPr>
    </w:lvl>
    <w:lvl w:ilvl="4" w:tplc="40090003" w:tentative="1">
      <w:start w:val="1"/>
      <w:numFmt w:val="bullet"/>
      <w:lvlText w:val="o"/>
      <w:lvlJc w:val="left"/>
      <w:pPr>
        <w:ind w:left="3845" w:hanging="360"/>
      </w:pPr>
      <w:rPr>
        <w:rFonts w:ascii="Courier New" w:hAnsi="Courier New" w:cs="Courier New" w:hint="default"/>
      </w:rPr>
    </w:lvl>
    <w:lvl w:ilvl="5" w:tplc="40090005" w:tentative="1">
      <w:start w:val="1"/>
      <w:numFmt w:val="bullet"/>
      <w:lvlText w:val=""/>
      <w:lvlJc w:val="left"/>
      <w:pPr>
        <w:ind w:left="4565" w:hanging="360"/>
      </w:pPr>
      <w:rPr>
        <w:rFonts w:ascii="Wingdings" w:hAnsi="Wingdings" w:hint="default"/>
      </w:rPr>
    </w:lvl>
    <w:lvl w:ilvl="6" w:tplc="40090001" w:tentative="1">
      <w:start w:val="1"/>
      <w:numFmt w:val="bullet"/>
      <w:lvlText w:val=""/>
      <w:lvlJc w:val="left"/>
      <w:pPr>
        <w:ind w:left="5285" w:hanging="360"/>
      </w:pPr>
      <w:rPr>
        <w:rFonts w:ascii="Symbol" w:hAnsi="Symbol" w:hint="default"/>
      </w:rPr>
    </w:lvl>
    <w:lvl w:ilvl="7" w:tplc="40090003" w:tentative="1">
      <w:start w:val="1"/>
      <w:numFmt w:val="bullet"/>
      <w:lvlText w:val="o"/>
      <w:lvlJc w:val="left"/>
      <w:pPr>
        <w:ind w:left="6005" w:hanging="360"/>
      </w:pPr>
      <w:rPr>
        <w:rFonts w:ascii="Courier New" w:hAnsi="Courier New" w:cs="Courier New" w:hint="default"/>
      </w:rPr>
    </w:lvl>
    <w:lvl w:ilvl="8" w:tplc="40090005" w:tentative="1">
      <w:start w:val="1"/>
      <w:numFmt w:val="bullet"/>
      <w:lvlText w:val=""/>
      <w:lvlJc w:val="left"/>
      <w:pPr>
        <w:ind w:left="6725" w:hanging="360"/>
      </w:pPr>
      <w:rPr>
        <w:rFonts w:ascii="Wingdings" w:hAnsi="Wingdings" w:hint="default"/>
      </w:rPr>
    </w:lvl>
  </w:abstractNum>
  <w:abstractNum w:abstractNumId="13" w15:restartNumberingAfterBreak="0">
    <w:nsid w:val="3D192097"/>
    <w:multiLevelType w:val="hybridMultilevel"/>
    <w:tmpl w:val="C63C8C7A"/>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3F70669E"/>
    <w:multiLevelType w:val="hybridMultilevel"/>
    <w:tmpl w:val="72E09D4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3FBE147E"/>
    <w:multiLevelType w:val="hybridMultilevel"/>
    <w:tmpl w:val="732E0FE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498E22A7"/>
    <w:multiLevelType w:val="hybridMultilevel"/>
    <w:tmpl w:val="38487A28"/>
    <w:lvl w:ilvl="0" w:tplc="FFFFFFFF">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245034"/>
    <w:multiLevelType w:val="hybridMultilevel"/>
    <w:tmpl w:val="4C282CF6"/>
    <w:lvl w:ilvl="0" w:tplc="FFFFFFFF">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52CE7D7B"/>
    <w:multiLevelType w:val="hybridMultilevel"/>
    <w:tmpl w:val="7CA06D22"/>
    <w:lvl w:ilvl="0" w:tplc="FFFFFFFF">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3814B9E"/>
    <w:multiLevelType w:val="hybridMultilevel"/>
    <w:tmpl w:val="4E1CDF54"/>
    <w:lvl w:ilvl="0" w:tplc="FFFFFFF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3FE6D23"/>
    <w:multiLevelType w:val="hybridMultilevel"/>
    <w:tmpl w:val="6B066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41E47E6"/>
    <w:multiLevelType w:val="hybridMultilevel"/>
    <w:tmpl w:val="23E441B0"/>
    <w:lvl w:ilvl="0" w:tplc="FFFFFFFF">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457446B"/>
    <w:multiLevelType w:val="hybridMultilevel"/>
    <w:tmpl w:val="D90A0A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9F37F5A"/>
    <w:multiLevelType w:val="hybridMultilevel"/>
    <w:tmpl w:val="0DF01BFC"/>
    <w:lvl w:ilvl="0" w:tplc="FFFFFFFF">
      <w:numFmt w:val="bullet"/>
      <w:lvlText w:val="•"/>
      <w:lvlJc w:val="left"/>
      <w:pPr>
        <w:ind w:left="768" w:hanging="360"/>
      </w:pPr>
      <w:rPr>
        <w:rFonts w:ascii="Calibri" w:eastAsiaTheme="minorHAnsi" w:hAnsi="Calibri" w:cs="Calibri"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5B1742AC"/>
    <w:multiLevelType w:val="hybridMultilevel"/>
    <w:tmpl w:val="C4B62986"/>
    <w:lvl w:ilvl="0" w:tplc="C48E1898">
      <w:start w:val="1"/>
      <w:numFmt w:val="decimal"/>
      <w:lvlText w:val="%1."/>
      <w:lvlJc w:val="left"/>
      <w:pPr>
        <w:ind w:left="410" w:hanging="360"/>
      </w:pPr>
      <w:rPr>
        <w:rFonts w:hint="default"/>
      </w:rPr>
    </w:lvl>
    <w:lvl w:ilvl="1" w:tplc="40090019" w:tentative="1">
      <w:start w:val="1"/>
      <w:numFmt w:val="lowerLetter"/>
      <w:lvlText w:val="%2."/>
      <w:lvlJc w:val="left"/>
      <w:pPr>
        <w:ind w:left="1130" w:hanging="360"/>
      </w:pPr>
    </w:lvl>
    <w:lvl w:ilvl="2" w:tplc="4009001B" w:tentative="1">
      <w:start w:val="1"/>
      <w:numFmt w:val="lowerRoman"/>
      <w:lvlText w:val="%3."/>
      <w:lvlJc w:val="right"/>
      <w:pPr>
        <w:ind w:left="1850" w:hanging="180"/>
      </w:pPr>
    </w:lvl>
    <w:lvl w:ilvl="3" w:tplc="4009000F" w:tentative="1">
      <w:start w:val="1"/>
      <w:numFmt w:val="decimal"/>
      <w:lvlText w:val="%4."/>
      <w:lvlJc w:val="left"/>
      <w:pPr>
        <w:ind w:left="2570" w:hanging="360"/>
      </w:pPr>
    </w:lvl>
    <w:lvl w:ilvl="4" w:tplc="40090019" w:tentative="1">
      <w:start w:val="1"/>
      <w:numFmt w:val="lowerLetter"/>
      <w:lvlText w:val="%5."/>
      <w:lvlJc w:val="left"/>
      <w:pPr>
        <w:ind w:left="3290" w:hanging="360"/>
      </w:pPr>
    </w:lvl>
    <w:lvl w:ilvl="5" w:tplc="4009001B" w:tentative="1">
      <w:start w:val="1"/>
      <w:numFmt w:val="lowerRoman"/>
      <w:lvlText w:val="%6."/>
      <w:lvlJc w:val="right"/>
      <w:pPr>
        <w:ind w:left="4010" w:hanging="180"/>
      </w:pPr>
    </w:lvl>
    <w:lvl w:ilvl="6" w:tplc="4009000F" w:tentative="1">
      <w:start w:val="1"/>
      <w:numFmt w:val="decimal"/>
      <w:lvlText w:val="%7."/>
      <w:lvlJc w:val="left"/>
      <w:pPr>
        <w:ind w:left="4730" w:hanging="360"/>
      </w:pPr>
    </w:lvl>
    <w:lvl w:ilvl="7" w:tplc="40090019" w:tentative="1">
      <w:start w:val="1"/>
      <w:numFmt w:val="lowerLetter"/>
      <w:lvlText w:val="%8."/>
      <w:lvlJc w:val="left"/>
      <w:pPr>
        <w:ind w:left="5450" w:hanging="360"/>
      </w:pPr>
    </w:lvl>
    <w:lvl w:ilvl="8" w:tplc="4009001B" w:tentative="1">
      <w:start w:val="1"/>
      <w:numFmt w:val="lowerRoman"/>
      <w:lvlText w:val="%9."/>
      <w:lvlJc w:val="right"/>
      <w:pPr>
        <w:ind w:left="6170" w:hanging="180"/>
      </w:pPr>
    </w:lvl>
  </w:abstractNum>
  <w:abstractNum w:abstractNumId="25" w15:restartNumberingAfterBreak="0">
    <w:nsid w:val="61A002A2"/>
    <w:multiLevelType w:val="hybridMultilevel"/>
    <w:tmpl w:val="72B624CE"/>
    <w:lvl w:ilvl="0" w:tplc="FFFFFFFF">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A94102A"/>
    <w:multiLevelType w:val="hybridMultilevel"/>
    <w:tmpl w:val="BEC86E86"/>
    <w:lvl w:ilvl="0" w:tplc="FFFFFFFF">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60C7073"/>
    <w:multiLevelType w:val="hybridMultilevel"/>
    <w:tmpl w:val="87540AC4"/>
    <w:lvl w:ilvl="0" w:tplc="FFFFFFFF">
      <w:numFmt w:val="bullet"/>
      <w:lvlText w:val="•"/>
      <w:lvlJc w:val="left"/>
      <w:pPr>
        <w:ind w:left="1440" w:hanging="360"/>
      </w:pPr>
      <w:rPr>
        <w:rFonts w:ascii="Calibri" w:eastAsiaTheme="minorHAnsi" w:hAnsi="Calibri" w:cs="Calibri"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7A112DC3"/>
    <w:multiLevelType w:val="hybridMultilevel"/>
    <w:tmpl w:val="FFFFFFFF"/>
    <w:lvl w:ilvl="0" w:tplc="91028304">
      <w:start w:val="1"/>
      <w:numFmt w:val="bullet"/>
      <w:lvlText w:val=""/>
      <w:lvlPicBulletId w:val="0"/>
      <w:lvlJc w:val="left"/>
      <w:pPr>
        <w:tabs>
          <w:tab w:val="num" w:pos="720"/>
        </w:tabs>
        <w:ind w:left="720" w:hanging="360"/>
      </w:pPr>
      <w:rPr>
        <w:rFonts w:ascii="Symbol" w:hAnsi="Symbol" w:hint="default"/>
      </w:rPr>
    </w:lvl>
    <w:lvl w:ilvl="1" w:tplc="D44CF3B4" w:tentative="1">
      <w:start w:val="1"/>
      <w:numFmt w:val="bullet"/>
      <w:lvlText w:val=""/>
      <w:lvlJc w:val="left"/>
      <w:pPr>
        <w:tabs>
          <w:tab w:val="num" w:pos="1440"/>
        </w:tabs>
        <w:ind w:left="1440" w:hanging="360"/>
      </w:pPr>
      <w:rPr>
        <w:rFonts w:ascii="Symbol" w:hAnsi="Symbol" w:hint="default"/>
      </w:rPr>
    </w:lvl>
    <w:lvl w:ilvl="2" w:tplc="CC92BB00" w:tentative="1">
      <w:start w:val="1"/>
      <w:numFmt w:val="bullet"/>
      <w:lvlText w:val=""/>
      <w:lvlJc w:val="left"/>
      <w:pPr>
        <w:tabs>
          <w:tab w:val="num" w:pos="2160"/>
        </w:tabs>
        <w:ind w:left="2160" w:hanging="360"/>
      </w:pPr>
      <w:rPr>
        <w:rFonts w:ascii="Symbol" w:hAnsi="Symbol" w:hint="default"/>
      </w:rPr>
    </w:lvl>
    <w:lvl w:ilvl="3" w:tplc="61BE343E" w:tentative="1">
      <w:start w:val="1"/>
      <w:numFmt w:val="bullet"/>
      <w:lvlText w:val=""/>
      <w:lvlJc w:val="left"/>
      <w:pPr>
        <w:tabs>
          <w:tab w:val="num" w:pos="2880"/>
        </w:tabs>
        <w:ind w:left="2880" w:hanging="360"/>
      </w:pPr>
      <w:rPr>
        <w:rFonts w:ascii="Symbol" w:hAnsi="Symbol" w:hint="default"/>
      </w:rPr>
    </w:lvl>
    <w:lvl w:ilvl="4" w:tplc="BFE67BD0" w:tentative="1">
      <w:start w:val="1"/>
      <w:numFmt w:val="bullet"/>
      <w:lvlText w:val=""/>
      <w:lvlJc w:val="left"/>
      <w:pPr>
        <w:tabs>
          <w:tab w:val="num" w:pos="3600"/>
        </w:tabs>
        <w:ind w:left="3600" w:hanging="360"/>
      </w:pPr>
      <w:rPr>
        <w:rFonts w:ascii="Symbol" w:hAnsi="Symbol" w:hint="default"/>
      </w:rPr>
    </w:lvl>
    <w:lvl w:ilvl="5" w:tplc="38DCE29A" w:tentative="1">
      <w:start w:val="1"/>
      <w:numFmt w:val="bullet"/>
      <w:lvlText w:val=""/>
      <w:lvlJc w:val="left"/>
      <w:pPr>
        <w:tabs>
          <w:tab w:val="num" w:pos="4320"/>
        </w:tabs>
        <w:ind w:left="4320" w:hanging="360"/>
      </w:pPr>
      <w:rPr>
        <w:rFonts w:ascii="Symbol" w:hAnsi="Symbol" w:hint="default"/>
      </w:rPr>
    </w:lvl>
    <w:lvl w:ilvl="6" w:tplc="BCFA7132" w:tentative="1">
      <w:start w:val="1"/>
      <w:numFmt w:val="bullet"/>
      <w:lvlText w:val=""/>
      <w:lvlJc w:val="left"/>
      <w:pPr>
        <w:tabs>
          <w:tab w:val="num" w:pos="5040"/>
        </w:tabs>
        <w:ind w:left="5040" w:hanging="360"/>
      </w:pPr>
      <w:rPr>
        <w:rFonts w:ascii="Symbol" w:hAnsi="Symbol" w:hint="default"/>
      </w:rPr>
    </w:lvl>
    <w:lvl w:ilvl="7" w:tplc="E9BA4148" w:tentative="1">
      <w:start w:val="1"/>
      <w:numFmt w:val="bullet"/>
      <w:lvlText w:val=""/>
      <w:lvlJc w:val="left"/>
      <w:pPr>
        <w:tabs>
          <w:tab w:val="num" w:pos="5760"/>
        </w:tabs>
        <w:ind w:left="5760" w:hanging="360"/>
      </w:pPr>
      <w:rPr>
        <w:rFonts w:ascii="Symbol" w:hAnsi="Symbol" w:hint="default"/>
      </w:rPr>
    </w:lvl>
    <w:lvl w:ilvl="8" w:tplc="EC449100"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7DB30EF1"/>
    <w:multiLevelType w:val="hybridMultilevel"/>
    <w:tmpl w:val="CAF2200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16cid:durableId="1695888519">
    <w:abstractNumId w:val="8"/>
  </w:num>
  <w:num w:numId="2" w16cid:durableId="165676618">
    <w:abstractNumId w:val="24"/>
  </w:num>
  <w:num w:numId="3" w16cid:durableId="690575163">
    <w:abstractNumId w:val="12"/>
  </w:num>
  <w:num w:numId="4" w16cid:durableId="1337266417">
    <w:abstractNumId w:val="0"/>
  </w:num>
  <w:num w:numId="5" w16cid:durableId="1876307641">
    <w:abstractNumId w:val="1"/>
  </w:num>
  <w:num w:numId="6" w16cid:durableId="2047295947">
    <w:abstractNumId w:val="11"/>
  </w:num>
  <w:num w:numId="7" w16cid:durableId="1570578265">
    <w:abstractNumId w:val="21"/>
  </w:num>
  <w:num w:numId="8" w16cid:durableId="919756601">
    <w:abstractNumId w:val="25"/>
  </w:num>
  <w:num w:numId="9" w16cid:durableId="621837713">
    <w:abstractNumId w:val="26"/>
  </w:num>
  <w:num w:numId="10" w16cid:durableId="620692404">
    <w:abstractNumId w:val="9"/>
  </w:num>
  <w:num w:numId="11" w16cid:durableId="1072267194">
    <w:abstractNumId w:val="18"/>
  </w:num>
  <w:num w:numId="12" w16cid:durableId="154103703">
    <w:abstractNumId w:val="17"/>
  </w:num>
  <w:num w:numId="13" w16cid:durableId="1368793665">
    <w:abstractNumId w:val="23"/>
  </w:num>
  <w:num w:numId="14" w16cid:durableId="1561208885">
    <w:abstractNumId w:val="10"/>
  </w:num>
  <w:num w:numId="15" w16cid:durableId="1515461114">
    <w:abstractNumId w:val="16"/>
  </w:num>
  <w:num w:numId="16" w16cid:durableId="1126971620">
    <w:abstractNumId w:val="22"/>
  </w:num>
  <w:num w:numId="17" w16cid:durableId="857891193">
    <w:abstractNumId w:val="19"/>
  </w:num>
  <w:num w:numId="18" w16cid:durableId="809252908">
    <w:abstractNumId w:val="27"/>
  </w:num>
  <w:num w:numId="19" w16cid:durableId="1517235920">
    <w:abstractNumId w:val="2"/>
  </w:num>
  <w:num w:numId="20" w16cid:durableId="947394161">
    <w:abstractNumId w:val="5"/>
  </w:num>
  <w:num w:numId="21" w16cid:durableId="1098021397">
    <w:abstractNumId w:val="15"/>
  </w:num>
  <w:num w:numId="22" w16cid:durableId="126582309">
    <w:abstractNumId w:val="6"/>
  </w:num>
  <w:num w:numId="23" w16cid:durableId="1903248626">
    <w:abstractNumId w:val="14"/>
  </w:num>
  <w:num w:numId="24" w16cid:durableId="1351641972">
    <w:abstractNumId w:val="4"/>
  </w:num>
  <w:num w:numId="25" w16cid:durableId="1016886482">
    <w:abstractNumId w:val="29"/>
  </w:num>
  <w:num w:numId="26" w16cid:durableId="286738524">
    <w:abstractNumId w:val="7"/>
  </w:num>
  <w:num w:numId="27" w16cid:durableId="493305266">
    <w:abstractNumId w:val="28"/>
  </w:num>
  <w:num w:numId="28" w16cid:durableId="372269866">
    <w:abstractNumId w:val="3"/>
  </w:num>
  <w:num w:numId="29" w16cid:durableId="1036924365">
    <w:abstractNumId w:val="13"/>
  </w:num>
  <w:num w:numId="30" w16cid:durableId="181607149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NDEzNLEwMDU1szC2MDZX0lEKTi0uzszPAykwrAUAf2dtXiwAAAA="/>
  </w:docVars>
  <w:rsids>
    <w:rsidRoot w:val="009637D5"/>
    <w:rsid w:val="0000036F"/>
    <w:rsid w:val="0000283D"/>
    <w:rsid w:val="00004A25"/>
    <w:rsid w:val="000144AA"/>
    <w:rsid w:val="00020287"/>
    <w:rsid w:val="00021FDD"/>
    <w:rsid w:val="00026A17"/>
    <w:rsid w:val="00027C33"/>
    <w:rsid w:val="00040CC5"/>
    <w:rsid w:val="00043548"/>
    <w:rsid w:val="000471CD"/>
    <w:rsid w:val="000504B8"/>
    <w:rsid w:val="000509BD"/>
    <w:rsid w:val="00053C20"/>
    <w:rsid w:val="00061E20"/>
    <w:rsid w:val="00063632"/>
    <w:rsid w:val="00064CDB"/>
    <w:rsid w:val="00071718"/>
    <w:rsid w:val="00071B75"/>
    <w:rsid w:val="00071CE6"/>
    <w:rsid w:val="00071E82"/>
    <w:rsid w:val="00074407"/>
    <w:rsid w:val="00074DF0"/>
    <w:rsid w:val="00075D91"/>
    <w:rsid w:val="000819F9"/>
    <w:rsid w:val="000932EB"/>
    <w:rsid w:val="00094593"/>
    <w:rsid w:val="000977BA"/>
    <w:rsid w:val="00097A30"/>
    <w:rsid w:val="000A2F1A"/>
    <w:rsid w:val="000B0E1F"/>
    <w:rsid w:val="000B45A1"/>
    <w:rsid w:val="000B537F"/>
    <w:rsid w:val="000B659F"/>
    <w:rsid w:val="000B78C0"/>
    <w:rsid w:val="000C030C"/>
    <w:rsid w:val="000C1441"/>
    <w:rsid w:val="000C48A7"/>
    <w:rsid w:val="000C4BD8"/>
    <w:rsid w:val="000D377C"/>
    <w:rsid w:val="000D50AF"/>
    <w:rsid w:val="000D6023"/>
    <w:rsid w:val="000D6286"/>
    <w:rsid w:val="000D68EC"/>
    <w:rsid w:val="000E2999"/>
    <w:rsid w:val="000E3A82"/>
    <w:rsid w:val="000E738B"/>
    <w:rsid w:val="000E7BDF"/>
    <w:rsid w:val="000F239A"/>
    <w:rsid w:val="000F4C76"/>
    <w:rsid w:val="000F6EB5"/>
    <w:rsid w:val="000F6F17"/>
    <w:rsid w:val="0010121F"/>
    <w:rsid w:val="00107A2A"/>
    <w:rsid w:val="0011559A"/>
    <w:rsid w:val="001158DF"/>
    <w:rsid w:val="001174BC"/>
    <w:rsid w:val="00121562"/>
    <w:rsid w:val="001219CA"/>
    <w:rsid w:val="00126DDE"/>
    <w:rsid w:val="00127447"/>
    <w:rsid w:val="00132416"/>
    <w:rsid w:val="00132B6B"/>
    <w:rsid w:val="0013518C"/>
    <w:rsid w:val="00135F95"/>
    <w:rsid w:val="001375E3"/>
    <w:rsid w:val="001378D2"/>
    <w:rsid w:val="00144077"/>
    <w:rsid w:val="00147206"/>
    <w:rsid w:val="00147AE6"/>
    <w:rsid w:val="0015047F"/>
    <w:rsid w:val="00150E24"/>
    <w:rsid w:val="00155B38"/>
    <w:rsid w:val="001571B8"/>
    <w:rsid w:val="001576FE"/>
    <w:rsid w:val="00161F51"/>
    <w:rsid w:val="00170B08"/>
    <w:rsid w:val="00171E8D"/>
    <w:rsid w:val="00181D6D"/>
    <w:rsid w:val="001847DA"/>
    <w:rsid w:val="00184860"/>
    <w:rsid w:val="0019058C"/>
    <w:rsid w:val="0019156A"/>
    <w:rsid w:val="00193643"/>
    <w:rsid w:val="0019657F"/>
    <w:rsid w:val="00197D62"/>
    <w:rsid w:val="001A0DA0"/>
    <w:rsid w:val="001A23D4"/>
    <w:rsid w:val="001A426A"/>
    <w:rsid w:val="001B3DCA"/>
    <w:rsid w:val="001B666A"/>
    <w:rsid w:val="001B71DA"/>
    <w:rsid w:val="001B7C7B"/>
    <w:rsid w:val="001D6539"/>
    <w:rsid w:val="001E1B48"/>
    <w:rsid w:val="001E5775"/>
    <w:rsid w:val="001F09B1"/>
    <w:rsid w:val="001F2CA1"/>
    <w:rsid w:val="001F5052"/>
    <w:rsid w:val="002004D3"/>
    <w:rsid w:val="00200D43"/>
    <w:rsid w:val="00205B9A"/>
    <w:rsid w:val="00211695"/>
    <w:rsid w:val="002118A8"/>
    <w:rsid w:val="00211CC0"/>
    <w:rsid w:val="00212483"/>
    <w:rsid w:val="00212AFA"/>
    <w:rsid w:val="00216D16"/>
    <w:rsid w:val="00220A66"/>
    <w:rsid w:val="002219B7"/>
    <w:rsid w:val="002275EB"/>
    <w:rsid w:val="00232B14"/>
    <w:rsid w:val="002342F9"/>
    <w:rsid w:val="00234F3F"/>
    <w:rsid w:val="00240C0A"/>
    <w:rsid w:val="00243211"/>
    <w:rsid w:val="002439A7"/>
    <w:rsid w:val="00247FC1"/>
    <w:rsid w:val="00250C3B"/>
    <w:rsid w:val="002565BD"/>
    <w:rsid w:val="00260D35"/>
    <w:rsid w:val="0026399D"/>
    <w:rsid w:val="00267B17"/>
    <w:rsid w:val="00271974"/>
    <w:rsid w:val="002728B2"/>
    <w:rsid w:val="00272BC5"/>
    <w:rsid w:val="00274478"/>
    <w:rsid w:val="00281A01"/>
    <w:rsid w:val="002875AE"/>
    <w:rsid w:val="002A342C"/>
    <w:rsid w:val="002A3D9A"/>
    <w:rsid w:val="002A45E1"/>
    <w:rsid w:val="002A49A0"/>
    <w:rsid w:val="002B13AF"/>
    <w:rsid w:val="002B262B"/>
    <w:rsid w:val="002B3130"/>
    <w:rsid w:val="002C0102"/>
    <w:rsid w:val="002C01F6"/>
    <w:rsid w:val="002C10EA"/>
    <w:rsid w:val="002C4889"/>
    <w:rsid w:val="002D121E"/>
    <w:rsid w:val="002D1E76"/>
    <w:rsid w:val="002F4436"/>
    <w:rsid w:val="002F46DB"/>
    <w:rsid w:val="002F6F19"/>
    <w:rsid w:val="00306377"/>
    <w:rsid w:val="00307A63"/>
    <w:rsid w:val="003148A2"/>
    <w:rsid w:val="0031547F"/>
    <w:rsid w:val="003166EF"/>
    <w:rsid w:val="00317B5E"/>
    <w:rsid w:val="00321265"/>
    <w:rsid w:val="003221FE"/>
    <w:rsid w:val="003308C4"/>
    <w:rsid w:val="00331012"/>
    <w:rsid w:val="00335442"/>
    <w:rsid w:val="0034110D"/>
    <w:rsid w:val="00341942"/>
    <w:rsid w:val="0034207C"/>
    <w:rsid w:val="0034334A"/>
    <w:rsid w:val="003466D8"/>
    <w:rsid w:val="00346904"/>
    <w:rsid w:val="00352219"/>
    <w:rsid w:val="00354012"/>
    <w:rsid w:val="003559C1"/>
    <w:rsid w:val="00357727"/>
    <w:rsid w:val="00361E6E"/>
    <w:rsid w:val="00361EBF"/>
    <w:rsid w:val="00361F2C"/>
    <w:rsid w:val="00363881"/>
    <w:rsid w:val="00364D3B"/>
    <w:rsid w:val="003725B2"/>
    <w:rsid w:val="00372F38"/>
    <w:rsid w:val="00372F83"/>
    <w:rsid w:val="003772D9"/>
    <w:rsid w:val="00385393"/>
    <w:rsid w:val="00390F2C"/>
    <w:rsid w:val="00391C3B"/>
    <w:rsid w:val="00393116"/>
    <w:rsid w:val="0039402A"/>
    <w:rsid w:val="003944B7"/>
    <w:rsid w:val="003946ED"/>
    <w:rsid w:val="00396725"/>
    <w:rsid w:val="0039715B"/>
    <w:rsid w:val="003A2FA3"/>
    <w:rsid w:val="003A4501"/>
    <w:rsid w:val="003B1EBA"/>
    <w:rsid w:val="003B3532"/>
    <w:rsid w:val="003B5FEE"/>
    <w:rsid w:val="003B6525"/>
    <w:rsid w:val="003C0E65"/>
    <w:rsid w:val="003C3215"/>
    <w:rsid w:val="003C7F63"/>
    <w:rsid w:val="003D5ECB"/>
    <w:rsid w:val="003E04C2"/>
    <w:rsid w:val="003E2651"/>
    <w:rsid w:val="003E2FC4"/>
    <w:rsid w:val="003F6D65"/>
    <w:rsid w:val="003F7295"/>
    <w:rsid w:val="00411176"/>
    <w:rsid w:val="00413194"/>
    <w:rsid w:val="00415E8A"/>
    <w:rsid w:val="00430C17"/>
    <w:rsid w:val="0043112F"/>
    <w:rsid w:val="004326BD"/>
    <w:rsid w:val="00432EC4"/>
    <w:rsid w:val="004366FB"/>
    <w:rsid w:val="0043685C"/>
    <w:rsid w:val="00444732"/>
    <w:rsid w:val="00451A40"/>
    <w:rsid w:val="00451D6E"/>
    <w:rsid w:val="00454AA2"/>
    <w:rsid w:val="004603B7"/>
    <w:rsid w:val="00461AC4"/>
    <w:rsid w:val="00465A8F"/>
    <w:rsid w:val="00465AE7"/>
    <w:rsid w:val="00466EFF"/>
    <w:rsid w:val="00470361"/>
    <w:rsid w:val="0047534C"/>
    <w:rsid w:val="004804C8"/>
    <w:rsid w:val="00484904"/>
    <w:rsid w:val="004939CB"/>
    <w:rsid w:val="004A428C"/>
    <w:rsid w:val="004A6991"/>
    <w:rsid w:val="004B109B"/>
    <w:rsid w:val="004B4CD0"/>
    <w:rsid w:val="004B5649"/>
    <w:rsid w:val="004C03B2"/>
    <w:rsid w:val="004C1C81"/>
    <w:rsid w:val="004D1AE0"/>
    <w:rsid w:val="004D4FB5"/>
    <w:rsid w:val="004D5DE3"/>
    <w:rsid w:val="004D68BA"/>
    <w:rsid w:val="004D6B8E"/>
    <w:rsid w:val="004E17E2"/>
    <w:rsid w:val="004E4031"/>
    <w:rsid w:val="004E5754"/>
    <w:rsid w:val="004F2376"/>
    <w:rsid w:val="004F446C"/>
    <w:rsid w:val="004F76C0"/>
    <w:rsid w:val="004F7FCE"/>
    <w:rsid w:val="00503671"/>
    <w:rsid w:val="005036B9"/>
    <w:rsid w:val="005049D8"/>
    <w:rsid w:val="00512B63"/>
    <w:rsid w:val="00517A6C"/>
    <w:rsid w:val="00525492"/>
    <w:rsid w:val="005278E6"/>
    <w:rsid w:val="00531C01"/>
    <w:rsid w:val="00533F45"/>
    <w:rsid w:val="005347D6"/>
    <w:rsid w:val="005374FD"/>
    <w:rsid w:val="00542C37"/>
    <w:rsid w:val="00542E9E"/>
    <w:rsid w:val="00542FDF"/>
    <w:rsid w:val="005536D4"/>
    <w:rsid w:val="005561B6"/>
    <w:rsid w:val="00567426"/>
    <w:rsid w:val="005711C3"/>
    <w:rsid w:val="0057122F"/>
    <w:rsid w:val="00572D2E"/>
    <w:rsid w:val="00577067"/>
    <w:rsid w:val="00580DC1"/>
    <w:rsid w:val="00582FFB"/>
    <w:rsid w:val="00585AEC"/>
    <w:rsid w:val="0058680B"/>
    <w:rsid w:val="005929F5"/>
    <w:rsid w:val="00592F1C"/>
    <w:rsid w:val="005A1DE4"/>
    <w:rsid w:val="005A201A"/>
    <w:rsid w:val="005A3CFC"/>
    <w:rsid w:val="005A5E95"/>
    <w:rsid w:val="005B1CD3"/>
    <w:rsid w:val="005B36D0"/>
    <w:rsid w:val="005B68E1"/>
    <w:rsid w:val="005B7BDE"/>
    <w:rsid w:val="005C0741"/>
    <w:rsid w:val="005C4244"/>
    <w:rsid w:val="005D0673"/>
    <w:rsid w:val="005D0785"/>
    <w:rsid w:val="005D09D9"/>
    <w:rsid w:val="005D0A9F"/>
    <w:rsid w:val="005D1391"/>
    <w:rsid w:val="005D178A"/>
    <w:rsid w:val="005D55B9"/>
    <w:rsid w:val="005D659E"/>
    <w:rsid w:val="005E3AD1"/>
    <w:rsid w:val="005E47A8"/>
    <w:rsid w:val="005E505F"/>
    <w:rsid w:val="005F32B5"/>
    <w:rsid w:val="005F5397"/>
    <w:rsid w:val="005F71CA"/>
    <w:rsid w:val="005F79B9"/>
    <w:rsid w:val="00600873"/>
    <w:rsid w:val="00601BF8"/>
    <w:rsid w:val="00602191"/>
    <w:rsid w:val="006026E3"/>
    <w:rsid w:val="00603913"/>
    <w:rsid w:val="006047DB"/>
    <w:rsid w:val="00604FB9"/>
    <w:rsid w:val="006078AC"/>
    <w:rsid w:val="006142E2"/>
    <w:rsid w:val="0061454B"/>
    <w:rsid w:val="00620713"/>
    <w:rsid w:val="006216D6"/>
    <w:rsid w:val="00623761"/>
    <w:rsid w:val="006251AF"/>
    <w:rsid w:val="00626865"/>
    <w:rsid w:val="006272BE"/>
    <w:rsid w:val="00627BA5"/>
    <w:rsid w:val="00634300"/>
    <w:rsid w:val="006343B8"/>
    <w:rsid w:val="00635A1A"/>
    <w:rsid w:val="006374CF"/>
    <w:rsid w:val="00640D45"/>
    <w:rsid w:val="00642B63"/>
    <w:rsid w:val="0064301F"/>
    <w:rsid w:val="00643F49"/>
    <w:rsid w:val="00644456"/>
    <w:rsid w:val="00644B73"/>
    <w:rsid w:val="00645EA2"/>
    <w:rsid w:val="00651524"/>
    <w:rsid w:val="006517B6"/>
    <w:rsid w:val="0065211A"/>
    <w:rsid w:val="00655EC5"/>
    <w:rsid w:val="0065737C"/>
    <w:rsid w:val="006677DE"/>
    <w:rsid w:val="00672FA9"/>
    <w:rsid w:val="00680392"/>
    <w:rsid w:val="006805B0"/>
    <w:rsid w:val="0068276A"/>
    <w:rsid w:val="00682F61"/>
    <w:rsid w:val="0068390F"/>
    <w:rsid w:val="00686BEF"/>
    <w:rsid w:val="006873F6"/>
    <w:rsid w:val="006879D5"/>
    <w:rsid w:val="00687FEF"/>
    <w:rsid w:val="00694B13"/>
    <w:rsid w:val="006B1F63"/>
    <w:rsid w:val="006B7EBB"/>
    <w:rsid w:val="006C195B"/>
    <w:rsid w:val="006C212B"/>
    <w:rsid w:val="006C3502"/>
    <w:rsid w:val="006C4415"/>
    <w:rsid w:val="006C5638"/>
    <w:rsid w:val="006C5C91"/>
    <w:rsid w:val="006C6627"/>
    <w:rsid w:val="006C7243"/>
    <w:rsid w:val="006C7B7E"/>
    <w:rsid w:val="006E0455"/>
    <w:rsid w:val="006E0DBC"/>
    <w:rsid w:val="006E5171"/>
    <w:rsid w:val="006E6A71"/>
    <w:rsid w:val="006F066D"/>
    <w:rsid w:val="006F0FB5"/>
    <w:rsid w:val="006F1C7E"/>
    <w:rsid w:val="006F216A"/>
    <w:rsid w:val="006F6FDF"/>
    <w:rsid w:val="007022E8"/>
    <w:rsid w:val="0070326A"/>
    <w:rsid w:val="0071133E"/>
    <w:rsid w:val="00713FAC"/>
    <w:rsid w:val="00716BDC"/>
    <w:rsid w:val="007240B6"/>
    <w:rsid w:val="00725C22"/>
    <w:rsid w:val="00726163"/>
    <w:rsid w:val="0073708A"/>
    <w:rsid w:val="007400BF"/>
    <w:rsid w:val="00742641"/>
    <w:rsid w:val="00745F4C"/>
    <w:rsid w:val="0074736E"/>
    <w:rsid w:val="00751F3A"/>
    <w:rsid w:val="00755398"/>
    <w:rsid w:val="00762DCB"/>
    <w:rsid w:val="00766ECC"/>
    <w:rsid w:val="00766F96"/>
    <w:rsid w:val="00767181"/>
    <w:rsid w:val="00773E13"/>
    <w:rsid w:val="00775023"/>
    <w:rsid w:val="007757B9"/>
    <w:rsid w:val="007770C8"/>
    <w:rsid w:val="00781766"/>
    <w:rsid w:val="0079018E"/>
    <w:rsid w:val="00792195"/>
    <w:rsid w:val="00792B2C"/>
    <w:rsid w:val="00794419"/>
    <w:rsid w:val="007963F9"/>
    <w:rsid w:val="007A36BA"/>
    <w:rsid w:val="007A5B76"/>
    <w:rsid w:val="007C176E"/>
    <w:rsid w:val="007C1C53"/>
    <w:rsid w:val="007C23EE"/>
    <w:rsid w:val="007C35C0"/>
    <w:rsid w:val="007D605A"/>
    <w:rsid w:val="007E0CE2"/>
    <w:rsid w:val="007E0E42"/>
    <w:rsid w:val="007E0F09"/>
    <w:rsid w:val="007E12D2"/>
    <w:rsid w:val="007E1FC5"/>
    <w:rsid w:val="007E3948"/>
    <w:rsid w:val="007E5530"/>
    <w:rsid w:val="007E6B6E"/>
    <w:rsid w:val="007F5642"/>
    <w:rsid w:val="007F5AD7"/>
    <w:rsid w:val="00800247"/>
    <w:rsid w:val="00800563"/>
    <w:rsid w:val="00805B71"/>
    <w:rsid w:val="00810AF2"/>
    <w:rsid w:val="008130BC"/>
    <w:rsid w:val="0081467F"/>
    <w:rsid w:val="008170C6"/>
    <w:rsid w:val="00823156"/>
    <w:rsid w:val="00826B78"/>
    <w:rsid w:val="0082705E"/>
    <w:rsid w:val="008315CD"/>
    <w:rsid w:val="00831B1B"/>
    <w:rsid w:val="00835076"/>
    <w:rsid w:val="00835FC9"/>
    <w:rsid w:val="00836CA0"/>
    <w:rsid w:val="00841E75"/>
    <w:rsid w:val="0084447E"/>
    <w:rsid w:val="00846F18"/>
    <w:rsid w:val="00852A1E"/>
    <w:rsid w:val="0085317C"/>
    <w:rsid w:val="00854585"/>
    <w:rsid w:val="00862A43"/>
    <w:rsid w:val="00863EBE"/>
    <w:rsid w:val="008650BB"/>
    <w:rsid w:val="00874AFE"/>
    <w:rsid w:val="008773D1"/>
    <w:rsid w:val="00883073"/>
    <w:rsid w:val="00883305"/>
    <w:rsid w:val="00884DF8"/>
    <w:rsid w:val="008871AF"/>
    <w:rsid w:val="008920BF"/>
    <w:rsid w:val="00895359"/>
    <w:rsid w:val="008A2070"/>
    <w:rsid w:val="008A2179"/>
    <w:rsid w:val="008B29B6"/>
    <w:rsid w:val="008B4161"/>
    <w:rsid w:val="008B74C0"/>
    <w:rsid w:val="008B76D0"/>
    <w:rsid w:val="008C064E"/>
    <w:rsid w:val="008C1CDE"/>
    <w:rsid w:val="008C4807"/>
    <w:rsid w:val="008C484A"/>
    <w:rsid w:val="008C4F43"/>
    <w:rsid w:val="008C676B"/>
    <w:rsid w:val="008D1AE9"/>
    <w:rsid w:val="008D42AB"/>
    <w:rsid w:val="008D58EB"/>
    <w:rsid w:val="008D7AAB"/>
    <w:rsid w:val="008D7FE8"/>
    <w:rsid w:val="008E33D0"/>
    <w:rsid w:val="008E5BEF"/>
    <w:rsid w:val="008E7494"/>
    <w:rsid w:val="008F09D2"/>
    <w:rsid w:val="008F3A1C"/>
    <w:rsid w:val="008F441E"/>
    <w:rsid w:val="008F4EC0"/>
    <w:rsid w:val="008F72F0"/>
    <w:rsid w:val="008F79BF"/>
    <w:rsid w:val="0090173D"/>
    <w:rsid w:val="00912676"/>
    <w:rsid w:val="00913E3D"/>
    <w:rsid w:val="00916B26"/>
    <w:rsid w:val="00916F3B"/>
    <w:rsid w:val="00917124"/>
    <w:rsid w:val="00926E1D"/>
    <w:rsid w:val="009270C6"/>
    <w:rsid w:val="00937565"/>
    <w:rsid w:val="00945B38"/>
    <w:rsid w:val="00946201"/>
    <w:rsid w:val="00960B85"/>
    <w:rsid w:val="00960EA1"/>
    <w:rsid w:val="009637D5"/>
    <w:rsid w:val="0097512B"/>
    <w:rsid w:val="009771C0"/>
    <w:rsid w:val="00977E8F"/>
    <w:rsid w:val="009814B7"/>
    <w:rsid w:val="0098515A"/>
    <w:rsid w:val="00987A16"/>
    <w:rsid w:val="00991146"/>
    <w:rsid w:val="00992B1F"/>
    <w:rsid w:val="00992DD9"/>
    <w:rsid w:val="0099555F"/>
    <w:rsid w:val="009A39D4"/>
    <w:rsid w:val="009A53FD"/>
    <w:rsid w:val="009A6D11"/>
    <w:rsid w:val="009A7C18"/>
    <w:rsid w:val="009B53C9"/>
    <w:rsid w:val="009B6A42"/>
    <w:rsid w:val="009C2D29"/>
    <w:rsid w:val="009C6A88"/>
    <w:rsid w:val="009D2575"/>
    <w:rsid w:val="009D4147"/>
    <w:rsid w:val="009E38BC"/>
    <w:rsid w:val="009E3EA0"/>
    <w:rsid w:val="009E41C1"/>
    <w:rsid w:val="009E60E7"/>
    <w:rsid w:val="009F05F8"/>
    <w:rsid w:val="009F15EF"/>
    <w:rsid w:val="009F273E"/>
    <w:rsid w:val="009F3922"/>
    <w:rsid w:val="00A01A7E"/>
    <w:rsid w:val="00A044CF"/>
    <w:rsid w:val="00A060F2"/>
    <w:rsid w:val="00A0646D"/>
    <w:rsid w:val="00A109CC"/>
    <w:rsid w:val="00A1281F"/>
    <w:rsid w:val="00A24F76"/>
    <w:rsid w:val="00A269A9"/>
    <w:rsid w:val="00A305B5"/>
    <w:rsid w:val="00A31080"/>
    <w:rsid w:val="00A31B3C"/>
    <w:rsid w:val="00A32DD0"/>
    <w:rsid w:val="00A3339A"/>
    <w:rsid w:val="00A36A79"/>
    <w:rsid w:val="00A44910"/>
    <w:rsid w:val="00A460A9"/>
    <w:rsid w:val="00A51AF8"/>
    <w:rsid w:val="00A52866"/>
    <w:rsid w:val="00A55B2A"/>
    <w:rsid w:val="00A566E6"/>
    <w:rsid w:val="00A56B5E"/>
    <w:rsid w:val="00A576DE"/>
    <w:rsid w:val="00A629B2"/>
    <w:rsid w:val="00A650EB"/>
    <w:rsid w:val="00A673E1"/>
    <w:rsid w:val="00A73395"/>
    <w:rsid w:val="00A7617F"/>
    <w:rsid w:val="00A80D24"/>
    <w:rsid w:val="00A8243D"/>
    <w:rsid w:val="00A851B1"/>
    <w:rsid w:val="00A8550C"/>
    <w:rsid w:val="00A87A4E"/>
    <w:rsid w:val="00A87C65"/>
    <w:rsid w:val="00A9036C"/>
    <w:rsid w:val="00A9038C"/>
    <w:rsid w:val="00A90EF7"/>
    <w:rsid w:val="00A9293A"/>
    <w:rsid w:val="00A93180"/>
    <w:rsid w:val="00A939B1"/>
    <w:rsid w:val="00A95229"/>
    <w:rsid w:val="00AA55B3"/>
    <w:rsid w:val="00AB77AC"/>
    <w:rsid w:val="00AC1BDF"/>
    <w:rsid w:val="00AC3999"/>
    <w:rsid w:val="00AC3C3F"/>
    <w:rsid w:val="00AC5BA5"/>
    <w:rsid w:val="00AD10CA"/>
    <w:rsid w:val="00AD27B7"/>
    <w:rsid w:val="00AD4E7A"/>
    <w:rsid w:val="00AD54A1"/>
    <w:rsid w:val="00B00703"/>
    <w:rsid w:val="00B02542"/>
    <w:rsid w:val="00B06064"/>
    <w:rsid w:val="00B069ED"/>
    <w:rsid w:val="00B11E52"/>
    <w:rsid w:val="00B14CA9"/>
    <w:rsid w:val="00B20F84"/>
    <w:rsid w:val="00B212CB"/>
    <w:rsid w:val="00B21B16"/>
    <w:rsid w:val="00B2545E"/>
    <w:rsid w:val="00B30032"/>
    <w:rsid w:val="00B3083C"/>
    <w:rsid w:val="00B32D62"/>
    <w:rsid w:val="00B330CB"/>
    <w:rsid w:val="00B37580"/>
    <w:rsid w:val="00B41F2C"/>
    <w:rsid w:val="00B47C38"/>
    <w:rsid w:val="00B539D4"/>
    <w:rsid w:val="00B56C0B"/>
    <w:rsid w:val="00B66D10"/>
    <w:rsid w:val="00B675B5"/>
    <w:rsid w:val="00B719D4"/>
    <w:rsid w:val="00B71FD9"/>
    <w:rsid w:val="00B72201"/>
    <w:rsid w:val="00B726EF"/>
    <w:rsid w:val="00B72A0A"/>
    <w:rsid w:val="00B72B78"/>
    <w:rsid w:val="00B731A6"/>
    <w:rsid w:val="00B74E08"/>
    <w:rsid w:val="00B758AE"/>
    <w:rsid w:val="00B77D0E"/>
    <w:rsid w:val="00B94453"/>
    <w:rsid w:val="00B95E44"/>
    <w:rsid w:val="00BA0880"/>
    <w:rsid w:val="00BA6430"/>
    <w:rsid w:val="00BB1358"/>
    <w:rsid w:val="00BB296C"/>
    <w:rsid w:val="00BB64AB"/>
    <w:rsid w:val="00BD1D2C"/>
    <w:rsid w:val="00BD2565"/>
    <w:rsid w:val="00BD565B"/>
    <w:rsid w:val="00BE10FC"/>
    <w:rsid w:val="00BE1454"/>
    <w:rsid w:val="00BE21FE"/>
    <w:rsid w:val="00BE596C"/>
    <w:rsid w:val="00BF09D5"/>
    <w:rsid w:val="00C02EAA"/>
    <w:rsid w:val="00C030C8"/>
    <w:rsid w:val="00C04974"/>
    <w:rsid w:val="00C05313"/>
    <w:rsid w:val="00C07514"/>
    <w:rsid w:val="00C117F3"/>
    <w:rsid w:val="00C13512"/>
    <w:rsid w:val="00C15D43"/>
    <w:rsid w:val="00C16374"/>
    <w:rsid w:val="00C1659E"/>
    <w:rsid w:val="00C169F4"/>
    <w:rsid w:val="00C3535E"/>
    <w:rsid w:val="00C35D18"/>
    <w:rsid w:val="00C366F4"/>
    <w:rsid w:val="00C36A1C"/>
    <w:rsid w:val="00C44B88"/>
    <w:rsid w:val="00C45329"/>
    <w:rsid w:val="00C45F40"/>
    <w:rsid w:val="00C513F9"/>
    <w:rsid w:val="00C53342"/>
    <w:rsid w:val="00C55F55"/>
    <w:rsid w:val="00C6229F"/>
    <w:rsid w:val="00C64884"/>
    <w:rsid w:val="00C65301"/>
    <w:rsid w:val="00C74026"/>
    <w:rsid w:val="00C74577"/>
    <w:rsid w:val="00C776F0"/>
    <w:rsid w:val="00C80FB1"/>
    <w:rsid w:val="00C866E9"/>
    <w:rsid w:val="00C87B83"/>
    <w:rsid w:val="00C97711"/>
    <w:rsid w:val="00CA103C"/>
    <w:rsid w:val="00CA1E62"/>
    <w:rsid w:val="00CA2A8D"/>
    <w:rsid w:val="00CA4DE4"/>
    <w:rsid w:val="00CA7F3B"/>
    <w:rsid w:val="00CB194D"/>
    <w:rsid w:val="00CB538F"/>
    <w:rsid w:val="00CC4879"/>
    <w:rsid w:val="00CC59EE"/>
    <w:rsid w:val="00CD01FF"/>
    <w:rsid w:val="00CE10A0"/>
    <w:rsid w:val="00CE3B5D"/>
    <w:rsid w:val="00CE535A"/>
    <w:rsid w:val="00CF42A8"/>
    <w:rsid w:val="00CF5936"/>
    <w:rsid w:val="00D017D0"/>
    <w:rsid w:val="00D06ABB"/>
    <w:rsid w:val="00D11003"/>
    <w:rsid w:val="00D120CF"/>
    <w:rsid w:val="00D1727E"/>
    <w:rsid w:val="00D21BBC"/>
    <w:rsid w:val="00D21CC3"/>
    <w:rsid w:val="00D253C6"/>
    <w:rsid w:val="00D268B2"/>
    <w:rsid w:val="00D26CCA"/>
    <w:rsid w:val="00D27798"/>
    <w:rsid w:val="00D27E8B"/>
    <w:rsid w:val="00D3136E"/>
    <w:rsid w:val="00D32057"/>
    <w:rsid w:val="00D41B95"/>
    <w:rsid w:val="00D448DF"/>
    <w:rsid w:val="00D6441F"/>
    <w:rsid w:val="00D650B3"/>
    <w:rsid w:val="00D65782"/>
    <w:rsid w:val="00D7112A"/>
    <w:rsid w:val="00D74782"/>
    <w:rsid w:val="00D827A6"/>
    <w:rsid w:val="00D82C1E"/>
    <w:rsid w:val="00D82EAF"/>
    <w:rsid w:val="00D8364B"/>
    <w:rsid w:val="00D853E2"/>
    <w:rsid w:val="00D85DB4"/>
    <w:rsid w:val="00D930FF"/>
    <w:rsid w:val="00D954D9"/>
    <w:rsid w:val="00D96ED5"/>
    <w:rsid w:val="00DA585E"/>
    <w:rsid w:val="00DB0DA5"/>
    <w:rsid w:val="00DB751F"/>
    <w:rsid w:val="00DC191F"/>
    <w:rsid w:val="00DD3BCE"/>
    <w:rsid w:val="00DE15DE"/>
    <w:rsid w:val="00DE233A"/>
    <w:rsid w:val="00DE6A63"/>
    <w:rsid w:val="00DE7D52"/>
    <w:rsid w:val="00DF4B29"/>
    <w:rsid w:val="00E020F4"/>
    <w:rsid w:val="00E07EC5"/>
    <w:rsid w:val="00E163DE"/>
    <w:rsid w:val="00E1687C"/>
    <w:rsid w:val="00E21A04"/>
    <w:rsid w:val="00E339B3"/>
    <w:rsid w:val="00E33C25"/>
    <w:rsid w:val="00E34676"/>
    <w:rsid w:val="00E3734C"/>
    <w:rsid w:val="00E41100"/>
    <w:rsid w:val="00E4679C"/>
    <w:rsid w:val="00E52A6E"/>
    <w:rsid w:val="00E53745"/>
    <w:rsid w:val="00E544F7"/>
    <w:rsid w:val="00E752D5"/>
    <w:rsid w:val="00E82952"/>
    <w:rsid w:val="00E85DCB"/>
    <w:rsid w:val="00E86DB6"/>
    <w:rsid w:val="00E90D10"/>
    <w:rsid w:val="00E93583"/>
    <w:rsid w:val="00E93636"/>
    <w:rsid w:val="00E94198"/>
    <w:rsid w:val="00E943C8"/>
    <w:rsid w:val="00E97D45"/>
    <w:rsid w:val="00EA527C"/>
    <w:rsid w:val="00EA58C5"/>
    <w:rsid w:val="00EA5EBA"/>
    <w:rsid w:val="00EA6199"/>
    <w:rsid w:val="00EB1AC9"/>
    <w:rsid w:val="00EB2742"/>
    <w:rsid w:val="00EB3EE8"/>
    <w:rsid w:val="00EC4697"/>
    <w:rsid w:val="00EC7706"/>
    <w:rsid w:val="00EC7AA6"/>
    <w:rsid w:val="00ED5B57"/>
    <w:rsid w:val="00EE0125"/>
    <w:rsid w:val="00EE1AEB"/>
    <w:rsid w:val="00EE4B86"/>
    <w:rsid w:val="00EF3199"/>
    <w:rsid w:val="00EF3A8E"/>
    <w:rsid w:val="00F04ADB"/>
    <w:rsid w:val="00F04CD0"/>
    <w:rsid w:val="00F04D7A"/>
    <w:rsid w:val="00F11E81"/>
    <w:rsid w:val="00F146CF"/>
    <w:rsid w:val="00F14D4F"/>
    <w:rsid w:val="00F21C57"/>
    <w:rsid w:val="00F24976"/>
    <w:rsid w:val="00F31ECD"/>
    <w:rsid w:val="00F34CF2"/>
    <w:rsid w:val="00F3550F"/>
    <w:rsid w:val="00F40FC9"/>
    <w:rsid w:val="00F43CD3"/>
    <w:rsid w:val="00F4446E"/>
    <w:rsid w:val="00F46152"/>
    <w:rsid w:val="00F4711B"/>
    <w:rsid w:val="00F4745B"/>
    <w:rsid w:val="00F50E22"/>
    <w:rsid w:val="00F521D8"/>
    <w:rsid w:val="00F55001"/>
    <w:rsid w:val="00F64C9D"/>
    <w:rsid w:val="00F65EB9"/>
    <w:rsid w:val="00F73F15"/>
    <w:rsid w:val="00F800E9"/>
    <w:rsid w:val="00F82383"/>
    <w:rsid w:val="00F85B79"/>
    <w:rsid w:val="00FA4ADD"/>
    <w:rsid w:val="00FA4DF1"/>
    <w:rsid w:val="00FA5C63"/>
    <w:rsid w:val="00FA724C"/>
    <w:rsid w:val="00FB1308"/>
    <w:rsid w:val="00FB3DB9"/>
    <w:rsid w:val="00FB4F6C"/>
    <w:rsid w:val="00FC11F1"/>
    <w:rsid w:val="00FC1984"/>
    <w:rsid w:val="00FC1B08"/>
    <w:rsid w:val="00FC2755"/>
    <w:rsid w:val="00FC6185"/>
    <w:rsid w:val="00FC6B0D"/>
    <w:rsid w:val="00FD2442"/>
    <w:rsid w:val="00FE07A6"/>
    <w:rsid w:val="00FE0B73"/>
    <w:rsid w:val="00FE32DE"/>
    <w:rsid w:val="00FE50C2"/>
    <w:rsid w:val="00FE530A"/>
    <w:rsid w:val="00FE573E"/>
    <w:rsid w:val="00FE5C1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C8EA82"/>
  <w15:chartTrackingRefBased/>
  <w15:docId w15:val="{57E7DA4A-8966-460A-948A-3E6AAE66A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637D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9637D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637D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637D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637D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637D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637D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637D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637D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37D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9637D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637D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637D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637D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637D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37D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37D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37D5"/>
    <w:rPr>
      <w:rFonts w:eastAsiaTheme="majorEastAsia" w:cstheme="majorBidi"/>
      <w:color w:val="272727" w:themeColor="text1" w:themeTint="D8"/>
    </w:rPr>
  </w:style>
  <w:style w:type="paragraph" w:styleId="Title">
    <w:name w:val="Title"/>
    <w:basedOn w:val="Normal"/>
    <w:next w:val="Normal"/>
    <w:link w:val="TitleChar"/>
    <w:uiPriority w:val="10"/>
    <w:qFormat/>
    <w:rsid w:val="009637D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637D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637D5"/>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637D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37D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9637D5"/>
    <w:rPr>
      <w:i/>
      <w:iCs/>
      <w:color w:val="404040" w:themeColor="text1" w:themeTint="BF"/>
    </w:rPr>
  </w:style>
  <w:style w:type="paragraph" w:styleId="ListParagraph">
    <w:name w:val="List Paragraph"/>
    <w:basedOn w:val="Normal"/>
    <w:uiPriority w:val="34"/>
    <w:qFormat/>
    <w:rsid w:val="009637D5"/>
    <w:pPr>
      <w:ind w:left="720"/>
      <w:contextualSpacing/>
    </w:pPr>
  </w:style>
  <w:style w:type="character" w:styleId="IntenseEmphasis">
    <w:name w:val="Intense Emphasis"/>
    <w:basedOn w:val="DefaultParagraphFont"/>
    <w:uiPriority w:val="21"/>
    <w:qFormat/>
    <w:rsid w:val="009637D5"/>
    <w:rPr>
      <w:i/>
      <w:iCs/>
      <w:color w:val="2F5496" w:themeColor="accent1" w:themeShade="BF"/>
    </w:rPr>
  </w:style>
  <w:style w:type="paragraph" w:styleId="IntenseQuote">
    <w:name w:val="Intense Quote"/>
    <w:basedOn w:val="Normal"/>
    <w:next w:val="Normal"/>
    <w:link w:val="IntenseQuoteChar"/>
    <w:uiPriority w:val="30"/>
    <w:qFormat/>
    <w:rsid w:val="009637D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637D5"/>
    <w:rPr>
      <w:i/>
      <w:iCs/>
      <w:color w:val="2F5496" w:themeColor="accent1" w:themeShade="BF"/>
    </w:rPr>
  </w:style>
  <w:style w:type="character" w:styleId="IntenseReference">
    <w:name w:val="Intense Reference"/>
    <w:basedOn w:val="DefaultParagraphFont"/>
    <w:uiPriority w:val="32"/>
    <w:qFormat/>
    <w:rsid w:val="009637D5"/>
    <w:rPr>
      <w:b/>
      <w:bCs/>
      <w:smallCaps/>
      <w:color w:val="2F5496" w:themeColor="accent1" w:themeShade="BF"/>
      <w:spacing w:val="5"/>
    </w:rPr>
  </w:style>
  <w:style w:type="paragraph" w:styleId="Header">
    <w:name w:val="header"/>
    <w:basedOn w:val="Normal"/>
    <w:link w:val="HeaderChar"/>
    <w:uiPriority w:val="99"/>
    <w:unhideWhenUsed/>
    <w:rsid w:val="00C513F9"/>
    <w:pPr>
      <w:tabs>
        <w:tab w:val="center" w:pos="4513"/>
        <w:tab w:val="right" w:pos="9026"/>
      </w:tabs>
      <w:spacing w:line="240" w:lineRule="auto"/>
    </w:pPr>
  </w:style>
  <w:style w:type="character" w:customStyle="1" w:styleId="HeaderChar">
    <w:name w:val="Header Char"/>
    <w:basedOn w:val="DefaultParagraphFont"/>
    <w:link w:val="Header"/>
    <w:uiPriority w:val="99"/>
    <w:rsid w:val="00C513F9"/>
  </w:style>
  <w:style w:type="paragraph" w:styleId="Footer">
    <w:name w:val="footer"/>
    <w:basedOn w:val="Normal"/>
    <w:link w:val="FooterChar"/>
    <w:uiPriority w:val="99"/>
    <w:unhideWhenUsed/>
    <w:rsid w:val="00C513F9"/>
    <w:pPr>
      <w:tabs>
        <w:tab w:val="center" w:pos="4513"/>
        <w:tab w:val="right" w:pos="9026"/>
      </w:tabs>
      <w:spacing w:line="240" w:lineRule="auto"/>
    </w:pPr>
  </w:style>
  <w:style w:type="character" w:customStyle="1" w:styleId="FooterChar">
    <w:name w:val="Footer Char"/>
    <w:basedOn w:val="DefaultParagraphFont"/>
    <w:link w:val="Footer"/>
    <w:uiPriority w:val="99"/>
    <w:rsid w:val="00C513F9"/>
  </w:style>
  <w:style w:type="paragraph" w:styleId="NormalWeb">
    <w:name w:val="Normal (Web)"/>
    <w:basedOn w:val="Normal"/>
    <w:uiPriority w:val="99"/>
    <w:semiHidden/>
    <w:unhideWhenUsed/>
    <w:rsid w:val="00F34CF2"/>
    <w:pPr>
      <w:spacing w:before="100" w:beforeAutospacing="1" w:after="100" w:afterAutospacing="1" w:line="240" w:lineRule="auto"/>
      <w:jc w:val="left"/>
    </w:pPr>
    <w:rPr>
      <w:rFonts w:ascii="Times New Roman" w:eastAsiaTheme="minorEastAsia" w:hAnsi="Times New Roman" w:cs="Times New Roman"/>
      <w:kern w:val="0"/>
      <w:sz w:val="24"/>
      <w:szCs w:val="24"/>
      <w14:ligatures w14:val="none"/>
    </w:rPr>
  </w:style>
  <w:style w:type="character" w:styleId="Strong">
    <w:name w:val="Strong"/>
    <w:basedOn w:val="DefaultParagraphFont"/>
    <w:uiPriority w:val="22"/>
    <w:qFormat/>
    <w:rsid w:val="00F34CF2"/>
    <w:rPr>
      <w:b/>
      <w:bCs/>
    </w:rPr>
  </w:style>
  <w:style w:type="character" w:styleId="Emphasis">
    <w:name w:val="Emphasis"/>
    <w:basedOn w:val="DefaultParagraphFont"/>
    <w:uiPriority w:val="20"/>
    <w:qFormat/>
    <w:rsid w:val="001B666A"/>
    <w:rPr>
      <w:i/>
      <w:iCs/>
    </w:rPr>
  </w:style>
  <w:style w:type="character" w:styleId="Hyperlink">
    <w:name w:val="Hyperlink"/>
    <w:basedOn w:val="DefaultParagraphFont"/>
    <w:uiPriority w:val="99"/>
    <w:unhideWhenUsed/>
    <w:rsid w:val="00567426"/>
    <w:rPr>
      <w:color w:val="0563C1" w:themeColor="hyperlink"/>
      <w:u w:val="single"/>
    </w:rPr>
  </w:style>
  <w:style w:type="character" w:styleId="UnresolvedMention">
    <w:name w:val="Unresolved Mention"/>
    <w:basedOn w:val="DefaultParagraphFont"/>
    <w:uiPriority w:val="99"/>
    <w:semiHidden/>
    <w:unhideWhenUsed/>
    <w:rsid w:val="005674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896238">
      <w:bodyDiv w:val="1"/>
      <w:marLeft w:val="0"/>
      <w:marRight w:val="0"/>
      <w:marTop w:val="0"/>
      <w:marBottom w:val="0"/>
      <w:divBdr>
        <w:top w:val="none" w:sz="0" w:space="0" w:color="auto"/>
        <w:left w:val="none" w:sz="0" w:space="0" w:color="auto"/>
        <w:bottom w:val="none" w:sz="0" w:space="0" w:color="auto"/>
        <w:right w:val="none" w:sz="0" w:space="0" w:color="auto"/>
      </w:divBdr>
    </w:div>
    <w:div w:id="45380983">
      <w:bodyDiv w:val="1"/>
      <w:marLeft w:val="0"/>
      <w:marRight w:val="0"/>
      <w:marTop w:val="0"/>
      <w:marBottom w:val="0"/>
      <w:divBdr>
        <w:top w:val="none" w:sz="0" w:space="0" w:color="auto"/>
        <w:left w:val="none" w:sz="0" w:space="0" w:color="auto"/>
        <w:bottom w:val="none" w:sz="0" w:space="0" w:color="auto"/>
        <w:right w:val="none" w:sz="0" w:space="0" w:color="auto"/>
      </w:divBdr>
      <w:divsChild>
        <w:div w:id="1159805578">
          <w:marLeft w:val="0"/>
          <w:marRight w:val="0"/>
          <w:marTop w:val="0"/>
          <w:marBottom w:val="0"/>
          <w:divBdr>
            <w:top w:val="none" w:sz="0" w:space="0" w:color="auto"/>
            <w:left w:val="none" w:sz="0" w:space="0" w:color="auto"/>
            <w:bottom w:val="none" w:sz="0" w:space="0" w:color="auto"/>
            <w:right w:val="none" w:sz="0" w:space="0" w:color="auto"/>
          </w:divBdr>
        </w:div>
        <w:div w:id="1684894481">
          <w:marLeft w:val="0"/>
          <w:marRight w:val="0"/>
          <w:marTop w:val="0"/>
          <w:marBottom w:val="0"/>
          <w:divBdr>
            <w:top w:val="none" w:sz="0" w:space="0" w:color="auto"/>
            <w:left w:val="none" w:sz="0" w:space="0" w:color="auto"/>
            <w:bottom w:val="none" w:sz="0" w:space="0" w:color="auto"/>
            <w:right w:val="none" w:sz="0" w:space="0" w:color="auto"/>
          </w:divBdr>
        </w:div>
        <w:div w:id="229197555">
          <w:marLeft w:val="0"/>
          <w:marRight w:val="0"/>
          <w:marTop w:val="0"/>
          <w:marBottom w:val="0"/>
          <w:divBdr>
            <w:top w:val="none" w:sz="0" w:space="0" w:color="auto"/>
            <w:left w:val="none" w:sz="0" w:space="0" w:color="auto"/>
            <w:bottom w:val="none" w:sz="0" w:space="0" w:color="auto"/>
            <w:right w:val="none" w:sz="0" w:space="0" w:color="auto"/>
          </w:divBdr>
        </w:div>
        <w:div w:id="1845700755">
          <w:marLeft w:val="0"/>
          <w:marRight w:val="0"/>
          <w:marTop w:val="0"/>
          <w:marBottom w:val="0"/>
          <w:divBdr>
            <w:top w:val="none" w:sz="0" w:space="0" w:color="auto"/>
            <w:left w:val="none" w:sz="0" w:space="0" w:color="auto"/>
            <w:bottom w:val="none" w:sz="0" w:space="0" w:color="auto"/>
            <w:right w:val="none" w:sz="0" w:space="0" w:color="auto"/>
          </w:divBdr>
        </w:div>
        <w:div w:id="666127862">
          <w:marLeft w:val="0"/>
          <w:marRight w:val="0"/>
          <w:marTop w:val="0"/>
          <w:marBottom w:val="0"/>
          <w:divBdr>
            <w:top w:val="none" w:sz="0" w:space="0" w:color="auto"/>
            <w:left w:val="none" w:sz="0" w:space="0" w:color="auto"/>
            <w:bottom w:val="none" w:sz="0" w:space="0" w:color="auto"/>
            <w:right w:val="none" w:sz="0" w:space="0" w:color="auto"/>
          </w:divBdr>
        </w:div>
        <w:div w:id="115948837">
          <w:marLeft w:val="0"/>
          <w:marRight w:val="0"/>
          <w:marTop w:val="0"/>
          <w:marBottom w:val="0"/>
          <w:divBdr>
            <w:top w:val="none" w:sz="0" w:space="0" w:color="auto"/>
            <w:left w:val="none" w:sz="0" w:space="0" w:color="auto"/>
            <w:bottom w:val="none" w:sz="0" w:space="0" w:color="auto"/>
            <w:right w:val="none" w:sz="0" w:space="0" w:color="auto"/>
          </w:divBdr>
        </w:div>
        <w:div w:id="1341008338">
          <w:marLeft w:val="0"/>
          <w:marRight w:val="0"/>
          <w:marTop w:val="0"/>
          <w:marBottom w:val="0"/>
          <w:divBdr>
            <w:top w:val="none" w:sz="0" w:space="0" w:color="auto"/>
            <w:left w:val="none" w:sz="0" w:space="0" w:color="auto"/>
            <w:bottom w:val="none" w:sz="0" w:space="0" w:color="auto"/>
            <w:right w:val="none" w:sz="0" w:space="0" w:color="auto"/>
          </w:divBdr>
        </w:div>
        <w:div w:id="2072271155">
          <w:marLeft w:val="0"/>
          <w:marRight w:val="0"/>
          <w:marTop w:val="0"/>
          <w:marBottom w:val="0"/>
          <w:divBdr>
            <w:top w:val="none" w:sz="0" w:space="0" w:color="auto"/>
            <w:left w:val="none" w:sz="0" w:space="0" w:color="auto"/>
            <w:bottom w:val="none" w:sz="0" w:space="0" w:color="auto"/>
            <w:right w:val="none" w:sz="0" w:space="0" w:color="auto"/>
          </w:divBdr>
        </w:div>
        <w:div w:id="297272853">
          <w:marLeft w:val="0"/>
          <w:marRight w:val="0"/>
          <w:marTop w:val="0"/>
          <w:marBottom w:val="0"/>
          <w:divBdr>
            <w:top w:val="none" w:sz="0" w:space="0" w:color="auto"/>
            <w:left w:val="none" w:sz="0" w:space="0" w:color="auto"/>
            <w:bottom w:val="none" w:sz="0" w:space="0" w:color="auto"/>
            <w:right w:val="none" w:sz="0" w:space="0" w:color="auto"/>
          </w:divBdr>
        </w:div>
        <w:div w:id="1598438194">
          <w:marLeft w:val="0"/>
          <w:marRight w:val="0"/>
          <w:marTop w:val="0"/>
          <w:marBottom w:val="0"/>
          <w:divBdr>
            <w:top w:val="none" w:sz="0" w:space="0" w:color="auto"/>
            <w:left w:val="none" w:sz="0" w:space="0" w:color="auto"/>
            <w:bottom w:val="none" w:sz="0" w:space="0" w:color="auto"/>
            <w:right w:val="none" w:sz="0" w:space="0" w:color="auto"/>
          </w:divBdr>
        </w:div>
        <w:div w:id="2131779347">
          <w:marLeft w:val="0"/>
          <w:marRight w:val="0"/>
          <w:marTop w:val="0"/>
          <w:marBottom w:val="0"/>
          <w:divBdr>
            <w:top w:val="none" w:sz="0" w:space="0" w:color="auto"/>
            <w:left w:val="none" w:sz="0" w:space="0" w:color="auto"/>
            <w:bottom w:val="none" w:sz="0" w:space="0" w:color="auto"/>
            <w:right w:val="none" w:sz="0" w:space="0" w:color="auto"/>
          </w:divBdr>
        </w:div>
        <w:div w:id="1967276129">
          <w:marLeft w:val="0"/>
          <w:marRight w:val="0"/>
          <w:marTop w:val="0"/>
          <w:marBottom w:val="0"/>
          <w:divBdr>
            <w:top w:val="none" w:sz="0" w:space="0" w:color="auto"/>
            <w:left w:val="none" w:sz="0" w:space="0" w:color="auto"/>
            <w:bottom w:val="none" w:sz="0" w:space="0" w:color="auto"/>
            <w:right w:val="none" w:sz="0" w:space="0" w:color="auto"/>
          </w:divBdr>
        </w:div>
        <w:div w:id="1875340647">
          <w:marLeft w:val="0"/>
          <w:marRight w:val="0"/>
          <w:marTop w:val="0"/>
          <w:marBottom w:val="0"/>
          <w:divBdr>
            <w:top w:val="none" w:sz="0" w:space="0" w:color="auto"/>
            <w:left w:val="none" w:sz="0" w:space="0" w:color="auto"/>
            <w:bottom w:val="none" w:sz="0" w:space="0" w:color="auto"/>
            <w:right w:val="none" w:sz="0" w:space="0" w:color="auto"/>
          </w:divBdr>
        </w:div>
        <w:div w:id="873929966">
          <w:marLeft w:val="0"/>
          <w:marRight w:val="0"/>
          <w:marTop w:val="0"/>
          <w:marBottom w:val="0"/>
          <w:divBdr>
            <w:top w:val="none" w:sz="0" w:space="0" w:color="auto"/>
            <w:left w:val="none" w:sz="0" w:space="0" w:color="auto"/>
            <w:bottom w:val="none" w:sz="0" w:space="0" w:color="auto"/>
            <w:right w:val="none" w:sz="0" w:space="0" w:color="auto"/>
          </w:divBdr>
        </w:div>
        <w:div w:id="1933275867">
          <w:marLeft w:val="0"/>
          <w:marRight w:val="0"/>
          <w:marTop w:val="0"/>
          <w:marBottom w:val="0"/>
          <w:divBdr>
            <w:top w:val="none" w:sz="0" w:space="0" w:color="auto"/>
            <w:left w:val="none" w:sz="0" w:space="0" w:color="auto"/>
            <w:bottom w:val="none" w:sz="0" w:space="0" w:color="auto"/>
            <w:right w:val="none" w:sz="0" w:space="0" w:color="auto"/>
          </w:divBdr>
        </w:div>
        <w:div w:id="1593780549">
          <w:marLeft w:val="0"/>
          <w:marRight w:val="0"/>
          <w:marTop w:val="0"/>
          <w:marBottom w:val="0"/>
          <w:divBdr>
            <w:top w:val="none" w:sz="0" w:space="0" w:color="auto"/>
            <w:left w:val="none" w:sz="0" w:space="0" w:color="auto"/>
            <w:bottom w:val="none" w:sz="0" w:space="0" w:color="auto"/>
            <w:right w:val="none" w:sz="0" w:space="0" w:color="auto"/>
          </w:divBdr>
        </w:div>
        <w:div w:id="1410350122">
          <w:marLeft w:val="0"/>
          <w:marRight w:val="0"/>
          <w:marTop w:val="0"/>
          <w:marBottom w:val="0"/>
          <w:divBdr>
            <w:top w:val="none" w:sz="0" w:space="0" w:color="auto"/>
            <w:left w:val="none" w:sz="0" w:space="0" w:color="auto"/>
            <w:bottom w:val="none" w:sz="0" w:space="0" w:color="auto"/>
            <w:right w:val="none" w:sz="0" w:space="0" w:color="auto"/>
          </w:divBdr>
        </w:div>
        <w:div w:id="990865490">
          <w:marLeft w:val="0"/>
          <w:marRight w:val="0"/>
          <w:marTop w:val="0"/>
          <w:marBottom w:val="0"/>
          <w:divBdr>
            <w:top w:val="none" w:sz="0" w:space="0" w:color="auto"/>
            <w:left w:val="none" w:sz="0" w:space="0" w:color="auto"/>
            <w:bottom w:val="none" w:sz="0" w:space="0" w:color="auto"/>
            <w:right w:val="none" w:sz="0" w:space="0" w:color="auto"/>
          </w:divBdr>
        </w:div>
        <w:div w:id="830634078">
          <w:marLeft w:val="0"/>
          <w:marRight w:val="0"/>
          <w:marTop w:val="0"/>
          <w:marBottom w:val="0"/>
          <w:divBdr>
            <w:top w:val="none" w:sz="0" w:space="0" w:color="auto"/>
            <w:left w:val="none" w:sz="0" w:space="0" w:color="auto"/>
            <w:bottom w:val="none" w:sz="0" w:space="0" w:color="auto"/>
            <w:right w:val="none" w:sz="0" w:space="0" w:color="auto"/>
          </w:divBdr>
        </w:div>
        <w:div w:id="1211724909">
          <w:marLeft w:val="0"/>
          <w:marRight w:val="0"/>
          <w:marTop w:val="0"/>
          <w:marBottom w:val="0"/>
          <w:divBdr>
            <w:top w:val="none" w:sz="0" w:space="0" w:color="auto"/>
            <w:left w:val="none" w:sz="0" w:space="0" w:color="auto"/>
            <w:bottom w:val="none" w:sz="0" w:space="0" w:color="auto"/>
            <w:right w:val="none" w:sz="0" w:space="0" w:color="auto"/>
          </w:divBdr>
        </w:div>
        <w:div w:id="344865129">
          <w:marLeft w:val="0"/>
          <w:marRight w:val="0"/>
          <w:marTop w:val="0"/>
          <w:marBottom w:val="0"/>
          <w:divBdr>
            <w:top w:val="none" w:sz="0" w:space="0" w:color="auto"/>
            <w:left w:val="none" w:sz="0" w:space="0" w:color="auto"/>
            <w:bottom w:val="none" w:sz="0" w:space="0" w:color="auto"/>
            <w:right w:val="none" w:sz="0" w:space="0" w:color="auto"/>
          </w:divBdr>
        </w:div>
        <w:div w:id="409010179">
          <w:marLeft w:val="0"/>
          <w:marRight w:val="0"/>
          <w:marTop w:val="0"/>
          <w:marBottom w:val="0"/>
          <w:divBdr>
            <w:top w:val="none" w:sz="0" w:space="0" w:color="auto"/>
            <w:left w:val="none" w:sz="0" w:space="0" w:color="auto"/>
            <w:bottom w:val="none" w:sz="0" w:space="0" w:color="auto"/>
            <w:right w:val="none" w:sz="0" w:space="0" w:color="auto"/>
          </w:divBdr>
        </w:div>
        <w:div w:id="1902864305">
          <w:marLeft w:val="0"/>
          <w:marRight w:val="0"/>
          <w:marTop w:val="0"/>
          <w:marBottom w:val="0"/>
          <w:divBdr>
            <w:top w:val="none" w:sz="0" w:space="0" w:color="auto"/>
            <w:left w:val="none" w:sz="0" w:space="0" w:color="auto"/>
            <w:bottom w:val="none" w:sz="0" w:space="0" w:color="auto"/>
            <w:right w:val="none" w:sz="0" w:space="0" w:color="auto"/>
          </w:divBdr>
        </w:div>
        <w:div w:id="700977696">
          <w:marLeft w:val="0"/>
          <w:marRight w:val="0"/>
          <w:marTop w:val="0"/>
          <w:marBottom w:val="0"/>
          <w:divBdr>
            <w:top w:val="none" w:sz="0" w:space="0" w:color="auto"/>
            <w:left w:val="none" w:sz="0" w:space="0" w:color="auto"/>
            <w:bottom w:val="none" w:sz="0" w:space="0" w:color="auto"/>
            <w:right w:val="none" w:sz="0" w:space="0" w:color="auto"/>
          </w:divBdr>
        </w:div>
        <w:div w:id="1774862035">
          <w:marLeft w:val="0"/>
          <w:marRight w:val="0"/>
          <w:marTop w:val="0"/>
          <w:marBottom w:val="0"/>
          <w:divBdr>
            <w:top w:val="none" w:sz="0" w:space="0" w:color="auto"/>
            <w:left w:val="none" w:sz="0" w:space="0" w:color="auto"/>
            <w:bottom w:val="none" w:sz="0" w:space="0" w:color="auto"/>
            <w:right w:val="none" w:sz="0" w:space="0" w:color="auto"/>
          </w:divBdr>
        </w:div>
        <w:div w:id="882448715">
          <w:marLeft w:val="0"/>
          <w:marRight w:val="0"/>
          <w:marTop w:val="0"/>
          <w:marBottom w:val="0"/>
          <w:divBdr>
            <w:top w:val="none" w:sz="0" w:space="0" w:color="auto"/>
            <w:left w:val="none" w:sz="0" w:space="0" w:color="auto"/>
            <w:bottom w:val="none" w:sz="0" w:space="0" w:color="auto"/>
            <w:right w:val="none" w:sz="0" w:space="0" w:color="auto"/>
          </w:divBdr>
        </w:div>
        <w:div w:id="1903324489">
          <w:marLeft w:val="0"/>
          <w:marRight w:val="0"/>
          <w:marTop w:val="0"/>
          <w:marBottom w:val="0"/>
          <w:divBdr>
            <w:top w:val="none" w:sz="0" w:space="0" w:color="auto"/>
            <w:left w:val="none" w:sz="0" w:space="0" w:color="auto"/>
            <w:bottom w:val="none" w:sz="0" w:space="0" w:color="auto"/>
            <w:right w:val="none" w:sz="0" w:space="0" w:color="auto"/>
          </w:divBdr>
        </w:div>
      </w:divsChild>
    </w:div>
    <w:div w:id="110244895">
      <w:bodyDiv w:val="1"/>
      <w:marLeft w:val="0"/>
      <w:marRight w:val="0"/>
      <w:marTop w:val="0"/>
      <w:marBottom w:val="0"/>
      <w:divBdr>
        <w:top w:val="none" w:sz="0" w:space="0" w:color="auto"/>
        <w:left w:val="none" w:sz="0" w:space="0" w:color="auto"/>
        <w:bottom w:val="none" w:sz="0" w:space="0" w:color="auto"/>
        <w:right w:val="none" w:sz="0" w:space="0" w:color="auto"/>
      </w:divBdr>
    </w:div>
    <w:div w:id="150869713">
      <w:bodyDiv w:val="1"/>
      <w:marLeft w:val="0"/>
      <w:marRight w:val="0"/>
      <w:marTop w:val="0"/>
      <w:marBottom w:val="0"/>
      <w:divBdr>
        <w:top w:val="none" w:sz="0" w:space="0" w:color="auto"/>
        <w:left w:val="none" w:sz="0" w:space="0" w:color="auto"/>
        <w:bottom w:val="none" w:sz="0" w:space="0" w:color="auto"/>
        <w:right w:val="none" w:sz="0" w:space="0" w:color="auto"/>
      </w:divBdr>
      <w:divsChild>
        <w:div w:id="1172647468">
          <w:marLeft w:val="0"/>
          <w:marRight w:val="0"/>
          <w:marTop w:val="0"/>
          <w:marBottom w:val="0"/>
          <w:divBdr>
            <w:top w:val="none" w:sz="0" w:space="0" w:color="auto"/>
            <w:left w:val="none" w:sz="0" w:space="0" w:color="auto"/>
            <w:bottom w:val="none" w:sz="0" w:space="0" w:color="auto"/>
            <w:right w:val="none" w:sz="0" w:space="0" w:color="auto"/>
          </w:divBdr>
        </w:div>
        <w:div w:id="1885605361">
          <w:marLeft w:val="0"/>
          <w:marRight w:val="0"/>
          <w:marTop w:val="0"/>
          <w:marBottom w:val="0"/>
          <w:divBdr>
            <w:top w:val="none" w:sz="0" w:space="0" w:color="auto"/>
            <w:left w:val="none" w:sz="0" w:space="0" w:color="auto"/>
            <w:bottom w:val="none" w:sz="0" w:space="0" w:color="auto"/>
            <w:right w:val="none" w:sz="0" w:space="0" w:color="auto"/>
          </w:divBdr>
        </w:div>
        <w:div w:id="1834449188">
          <w:marLeft w:val="0"/>
          <w:marRight w:val="0"/>
          <w:marTop w:val="0"/>
          <w:marBottom w:val="0"/>
          <w:divBdr>
            <w:top w:val="none" w:sz="0" w:space="0" w:color="auto"/>
            <w:left w:val="none" w:sz="0" w:space="0" w:color="auto"/>
            <w:bottom w:val="none" w:sz="0" w:space="0" w:color="auto"/>
            <w:right w:val="none" w:sz="0" w:space="0" w:color="auto"/>
          </w:divBdr>
        </w:div>
        <w:div w:id="1963420957">
          <w:marLeft w:val="0"/>
          <w:marRight w:val="0"/>
          <w:marTop w:val="0"/>
          <w:marBottom w:val="0"/>
          <w:divBdr>
            <w:top w:val="none" w:sz="0" w:space="0" w:color="auto"/>
            <w:left w:val="none" w:sz="0" w:space="0" w:color="auto"/>
            <w:bottom w:val="none" w:sz="0" w:space="0" w:color="auto"/>
            <w:right w:val="none" w:sz="0" w:space="0" w:color="auto"/>
          </w:divBdr>
        </w:div>
      </w:divsChild>
    </w:div>
    <w:div w:id="181407457">
      <w:bodyDiv w:val="1"/>
      <w:marLeft w:val="0"/>
      <w:marRight w:val="0"/>
      <w:marTop w:val="0"/>
      <w:marBottom w:val="0"/>
      <w:divBdr>
        <w:top w:val="none" w:sz="0" w:space="0" w:color="auto"/>
        <w:left w:val="none" w:sz="0" w:space="0" w:color="auto"/>
        <w:bottom w:val="none" w:sz="0" w:space="0" w:color="auto"/>
        <w:right w:val="none" w:sz="0" w:space="0" w:color="auto"/>
      </w:divBdr>
      <w:divsChild>
        <w:div w:id="824207264">
          <w:marLeft w:val="0"/>
          <w:marRight w:val="0"/>
          <w:marTop w:val="0"/>
          <w:marBottom w:val="0"/>
          <w:divBdr>
            <w:top w:val="none" w:sz="0" w:space="0" w:color="auto"/>
            <w:left w:val="none" w:sz="0" w:space="0" w:color="auto"/>
            <w:bottom w:val="none" w:sz="0" w:space="0" w:color="auto"/>
            <w:right w:val="none" w:sz="0" w:space="0" w:color="auto"/>
          </w:divBdr>
          <w:divsChild>
            <w:div w:id="1363827242">
              <w:marLeft w:val="0"/>
              <w:marRight w:val="0"/>
              <w:marTop w:val="0"/>
              <w:marBottom w:val="0"/>
              <w:divBdr>
                <w:top w:val="none" w:sz="0" w:space="0" w:color="auto"/>
                <w:left w:val="none" w:sz="0" w:space="0" w:color="auto"/>
                <w:bottom w:val="none" w:sz="0" w:space="0" w:color="auto"/>
                <w:right w:val="none" w:sz="0" w:space="0" w:color="auto"/>
              </w:divBdr>
              <w:divsChild>
                <w:div w:id="2061126723">
                  <w:marLeft w:val="0"/>
                  <w:marRight w:val="0"/>
                  <w:marTop w:val="120"/>
                  <w:marBottom w:val="0"/>
                  <w:divBdr>
                    <w:top w:val="none" w:sz="0" w:space="0" w:color="auto"/>
                    <w:left w:val="none" w:sz="0" w:space="0" w:color="auto"/>
                    <w:bottom w:val="none" w:sz="0" w:space="0" w:color="auto"/>
                    <w:right w:val="none" w:sz="0" w:space="0" w:color="auto"/>
                  </w:divBdr>
                  <w:divsChild>
                    <w:div w:id="8679241">
                      <w:marLeft w:val="0"/>
                      <w:marRight w:val="0"/>
                      <w:marTop w:val="0"/>
                      <w:marBottom w:val="0"/>
                      <w:divBdr>
                        <w:top w:val="none" w:sz="0" w:space="0" w:color="auto"/>
                        <w:left w:val="none" w:sz="0" w:space="0" w:color="auto"/>
                        <w:bottom w:val="none" w:sz="0" w:space="0" w:color="auto"/>
                        <w:right w:val="none" w:sz="0" w:space="0" w:color="auto"/>
                      </w:divBdr>
                      <w:divsChild>
                        <w:div w:id="285737140">
                          <w:marLeft w:val="0"/>
                          <w:marRight w:val="0"/>
                          <w:marTop w:val="0"/>
                          <w:marBottom w:val="0"/>
                          <w:divBdr>
                            <w:top w:val="none" w:sz="0" w:space="0" w:color="auto"/>
                            <w:left w:val="none" w:sz="0" w:space="0" w:color="auto"/>
                            <w:bottom w:val="none" w:sz="0" w:space="0" w:color="auto"/>
                            <w:right w:val="none" w:sz="0" w:space="0" w:color="auto"/>
                          </w:divBdr>
                          <w:divsChild>
                            <w:div w:id="1038505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2838524">
      <w:bodyDiv w:val="1"/>
      <w:marLeft w:val="0"/>
      <w:marRight w:val="0"/>
      <w:marTop w:val="0"/>
      <w:marBottom w:val="0"/>
      <w:divBdr>
        <w:top w:val="none" w:sz="0" w:space="0" w:color="auto"/>
        <w:left w:val="none" w:sz="0" w:space="0" w:color="auto"/>
        <w:bottom w:val="none" w:sz="0" w:space="0" w:color="auto"/>
        <w:right w:val="none" w:sz="0" w:space="0" w:color="auto"/>
      </w:divBdr>
      <w:divsChild>
        <w:div w:id="2111853279">
          <w:marLeft w:val="0"/>
          <w:marRight w:val="0"/>
          <w:marTop w:val="0"/>
          <w:marBottom w:val="0"/>
          <w:divBdr>
            <w:top w:val="none" w:sz="0" w:space="0" w:color="auto"/>
            <w:left w:val="none" w:sz="0" w:space="0" w:color="auto"/>
            <w:bottom w:val="none" w:sz="0" w:space="0" w:color="auto"/>
            <w:right w:val="none" w:sz="0" w:space="0" w:color="auto"/>
          </w:divBdr>
        </w:div>
        <w:div w:id="1203982827">
          <w:marLeft w:val="0"/>
          <w:marRight w:val="0"/>
          <w:marTop w:val="0"/>
          <w:marBottom w:val="0"/>
          <w:divBdr>
            <w:top w:val="none" w:sz="0" w:space="0" w:color="auto"/>
            <w:left w:val="none" w:sz="0" w:space="0" w:color="auto"/>
            <w:bottom w:val="none" w:sz="0" w:space="0" w:color="auto"/>
            <w:right w:val="none" w:sz="0" w:space="0" w:color="auto"/>
          </w:divBdr>
        </w:div>
        <w:div w:id="939946478">
          <w:marLeft w:val="0"/>
          <w:marRight w:val="0"/>
          <w:marTop w:val="0"/>
          <w:marBottom w:val="0"/>
          <w:divBdr>
            <w:top w:val="none" w:sz="0" w:space="0" w:color="auto"/>
            <w:left w:val="none" w:sz="0" w:space="0" w:color="auto"/>
            <w:bottom w:val="none" w:sz="0" w:space="0" w:color="auto"/>
            <w:right w:val="none" w:sz="0" w:space="0" w:color="auto"/>
          </w:divBdr>
        </w:div>
        <w:div w:id="1407920049">
          <w:marLeft w:val="0"/>
          <w:marRight w:val="0"/>
          <w:marTop w:val="0"/>
          <w:marBottom w:val="0"/>
          <w:divBdr>
            <w:top w:val="none" w:sz="0" w:space="0" w:color="auto"/>
            <w:left w:val="none" w:sz="0" w:space="0" w:color="auto"/>
            <w:bottom w:val="none" w:sz="0" w:space="0" w:color="auto"/>
            <w:right w:val="none" w:sz="0" w:space="0" w:color="auto"/>
          </w:divBdr>
        </w:div>
        <w:div w:id="909731831">
          <w:marLeft w:val="0"/>
          <w:marRight w:val="0"/>
          <w:marTop w:val="0"/>
          <w:marBottom w:val="0"/>
          <w:divBdr>
            <w:top w:val="none" w:sz="0" w:space="0" w:color="auto"/>
            <w:left w:val="none" w:sz="0" w:space="0" w:color="auto"/>
            <w:bottom w:val="none" w:sz="0" w:space="0" w:color="auto"/>
            <w:right w:val="none" w:sz="0" w:space="0" w:color="auto"/>
          </w:divBdr>
        </w:div>
      </w:divsChild>
    </w:div>
    <w:div w:id="257639154">
      <w:bodyDiv w:val="1"/>
      <w:marLeft w:val="0"/>
      <w:marRight w:val="0"/>
      <w:marTop w:val="0"/>
      <w:marBottom w:val="0"/>
      <w:divBdr>
        <w:top w:val="none" w:sz="0" w:space="0" w:color="auto"/>
        <w:left w:val="none" w:sz="0" w:space="0" w:color="auto"/>
        <w:bottom w:val="none" w:sz="0" w:space="0" w:color="auto"/>
        <w:right w:val="none" w:sz="0" w:space="0" w:color="auto"/>
      </w:divBdr>
      <w:divsChild>
        <w:div w:id="1921136411">
          <w:marLeft w:val="0"/>
          <w:marRight w:val="0"/>
          <w:marTop w:val="30"/>
          <w:marBottom w:val="0"/>
          <w:divBdr>
            <w:top w:val="none" w:sz="0" w:space="0" w:color="auto"/>
            <w:left w:val="none" w:sz="0" w:space="0" w:color="auto"/>
            <w:bottom w:val="none" w:sz="0" w:space="0" w:color="auto"/>
            <w:right w:val="none" w:sz="0" w:space="0" w:color="auto"/>
          </w:divBdr>
          <w:divsChild>
            <w:div w:id="229966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649802">
      <w:bodyDiv w:val="1"/>
      <w:marLeft w:val="0"/>
      <w:marRight w:val="0"/>
      <w:marTop w:val="0"/>
      <w:marBottom w:val="0"/>
      <w:divBdr>
        <w:top w:val="none" w:sz="0" w:space="0" w:color="auto"/>
        <w:left w:val="none" w:sz="0" w:space="0" w:color="auto"/>
        <w:bottom w:val="none" w:sz="0" w:space="0" w:color="auto"/>
        <w:right w:val="none" w:sz="0" w:space="0" w:color="auto"/>
      </w:divBdr>
    </w:div>
    <w:div w:id="454367949">
      <w:bodyDiv w:val="1"/>
      <w:marLeft w:val="0"/>
      <w:marRight w:val="0"/>
      <w:marTop w:val="0"/>
      <w:marBottom w:val="0"/>
      <w:divBdr>
        <w:top w:val="none" w:sz="0" w:space="0" w:color="auto"/>
        <w:left w:val="none" w:sz="0" w:space="0" w:color="auto"/>
        <w:bottom w:val="none" w:sz="0" w:space="0" w:color="auto"/>
        <w:right w:val="none" w:sz="0" w:space="0" w:color="auto"/>
      </w:divBdr>
    </w:div>
    <w:div w:id="456415024">
      <w:bodyDiv w:val="1"/>
      <w:marLeft w:val="0"/>
      <w:marRight w:val="0"/>
      <w:marTop w:val="0"/>
      <w:marBottom w:val="0"/>
      <w:divBdr>
        <w:top w:val="none" w:sz="0" w:space="0" w:color="auto"/>
        <w:left w:val="none" w:sz="0" w:space="0" w:color="auto"/>
        <w:bottom w:val="none" w:sz="0" w:space="0" w:color="auto"/>
        <w:right w:val="none" w:sz="0" w:space="0" w:color="auto"/>
      </w:divBdr>
      <w:divsChild>
        <w:div w:id="318120758">
          <w:marLeft w:val="0"/>
          <w:marRight w:val="0"/>
          <w:marTop w:val="0"/>
          <w:marBottom w:val="0"/>
          <w:divBdr>
            <w:top w:val="none" w:sz="0" w:space="0" w:color="auto"/>
            <w:left w:val="none" w:sz="0" w:space="0" w:color="auto"/>
            <w:bottom w:val="none" w:sz="0" w:space="0" w:color="auto"/>
            <w:right w:val="none" w:sz="0" w:space="0" w:color="auto"/>
          </w:divBdr>
        </w:div>
        <w:div w:id="1589996769">
          <w:marLeft w:val="0"/>
          <w:marRight w:val="0"/>
          <w:marTop w:val="0"/>
          <w:marBottom w:val="0"/>
          <w:divBdr>
            <w:top w:val="none" w:sz="0" w:space="0" w:color="auto"/>
            <w:left w:val="none" w:sz="0" w:space="0" w:color="auto"/>
            <w:bottom w:val="none" w:sz="0" w:space="0" w:color="auto"/>
            <w:right w:val="none" w:sz="0" w:space="0" w:color="auto"/>
          </w:divBdr>
        </w:div>
      </w:divsChild>
    </w:div>
    <w:div w:id="471600171">
      <w:bodyDiv w:val="1"/>
      <w:marLeft w:val="0"/>
      <w:marRight w:val="0"/>
      <w:marTop w:val="0"/>
      <w:marBottom w:val="0"/>
      <w:divBdr>
        <w:top w:val="none" w:sz="0" w:space="0" w:color="auto"/>
        <w:left w:val="none" w:sz="0" w:space="0" w:color="auto"/>
        <w:bottom w:val="none" w:sz="0" w:space="0" w:color="auto"/>
        <w:right w:val="none" w:sz="0" w:space="0" w:color="auto"/>
      </w:divBdr>
      <w:divsChild>
        <w:div w:id="1652103215">
          <w:marLeft w:val="0"/>
          <w:marRight w:val="0"/>
          <w:marTop w:val="0"/>
          <w:marBottom w:val="0"/>
          <w:divBdr>
            <w:top w:val="none" w:sz="0" w:space="0" w:color="auto"/>
            <w:left w:val="none" w:sz="0" w:space="0" w:color="auto"/>
            <w:bottom w:val="none" w:sz="0" w:space="0" w:color="auto"/>
            <w:right w:val="none" w:sz="0" w:space="0" w:color="auto"/>
          </w:divBdr>
          <w:divsChild>
            <w:div w:id="691734534">
              <w:marLeft w:val="0"/>
              <w:marRight w:val="0"/>
              <w:marTop w:val="0"/>
              <w:marBottom w:val="0"/>
              <w:divBdr>
                <w:top w:val="none" w:sz="0" w:space="0" w:color="auto"/>
                <w:left w:val="none" w:sz="0" w:space="0" w:color="auto"/>
                <w:bottom w:val="none" w:sz="0" w:space="0" w:color="auto"/>
                <w:right w:val="none" w:sz="0" w:space="0" w:color="auto"/>
              </w:divBdr>
              <w:divsChild>
                <w:div w:id="1861578974">
                  <w:marLeft w:val="0"/>
                  <w:marRight w:val="0"/>
                  <w:marTop w:val="0"/>
                  <w:marBottom w:val="0"/>
                  <w:divBdr>
                    <w:top w:val="none" w:sz="0" w:space="0" w:color="auto"/>
                    <w:left w:val="none" w:sz="0" w:space="0" w:color="auto"/>
                    <w:bottom w:val="none" w:sz="0" w:space="0" w:color="auto"/>
                    <w:right w:val="none" w:sz="0" w:space="0" w:color="auto"/>
                  </w:divBdr>
                  <w:divsChild>
                    <w:div w:id="911963971">
                      <w:marLeft w:val="0"/>
                      <w:marRight w:val="0"/>
                      <w:marTop w:val="120"/>
                      <w:marBottom w:val="0"/>
                      <w:divBdr>
                        <w:top w:val="none" w:sz="0" w:space="0" w:color="auto"/>
                        <w:left w:val="none" w:sz="0" w:space="0" w:color="auto"/>
                        <w:bottom w:val="none" w:sz="0" w:space="0" w:color="auto"/>
                        <w:right w:val="none" w:sz="0" w:space="0" w:color="auto"/>
                      </w:divBdr>
                      <w:divsChild>
                        <w:div w:id="713581723">
                          <w:marLeft w:val="0"/>
                          <w:marRight w:val="0"/>
                          <w:marTop w:val="0"/>
                          <w:marBottom w:val="0"/>
                          <w:divBdr>
                            <w:top w:val="none" w:sz="0" w:space="0" w:color="auto"/>
                            <w:left w:val="none" w:sz="0" w:space="0" w:color="auto"/>
                            <w:bottom w:val="none" w:sz="0" w:space="0" w:color="auto"/>
                            <w:right w:val="none" w:sz="0" w:space="0" w:color="auto"/>
                          </w:divBdr>
                          <w:divsChild>
                            <w:div w:id="1041975676">
                              <w:marLeft w:val="0"/>
                              <w:marRight w:val="0"/>
                              <w:marTop w:val="0"/>
                              <w:marBottom w:val="0"/>
                              <w:divBdr>
                                <w:top w:val="none" w:sz="0" w:space="0" w:color="auto"/>
                                <w:left w:val="none" w:sz="0" w:space="0" w:color="auto"/>
                                <w:bottom w:val="none" w:sz="0" w:space="0" w:color="auto"/>
                                <w:right w:val="none" w:sz="0" w:space="0" w:color="auto"/>
                              </w:divBdr>
                              <w:divsChild>
                                <w:div w:id="77969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864825">
          <w:marLeft w:val="0"/>
          <w:marRight w:val="0"/>
          <w:marTop w:val="0"/>
          <w:marBottom w:val="0"/>
          <w:divBdr>
            <w:top w:val="none" w:sz="0" w:space="0" w:color="auto"/>
            <w:left w:val="none" w:sz="0" w:space="0" w:color="auto"/>
            <w:bottom w:val="none" w:sz="0" w:space="0" w:color="auto"/>
            <w:right w:val="none" w:sz="0" w:space="0" w:color="auto"/>
          </w:divBdr>
          <w:divsChild>
            <w:div w:id="1164466762">
              <w:marLeft w:val="0"/>
              <w:marRight w:val="0"/>
              <w:marTop w:val="0"/>
              <w:marBottom w:val="0"/>
              <w:divBdr>
                <w:top w:val="none" w:sz="0" w:space="0" w:color="auto"/>
                <w:left w:val="none" w:sz="0" w:space="0" w:color="auto"/>
                <w:bottom w:val="none" w:sz="0" w:space="0" w:color="auto"/>
                <w:right w:val="none" w:sz="0" w:space="0" w:color="auto"/>
              </w:divBdr>
              <w:divsChild>
                <w:div w:id="341589365">
                  <w:marLeft w:val="0"/>
                  <w:marRight w:val="0"/>
                  <w:marTop w:val="0"/>
                  <w:marBottom w:val="0"/>
                  <w:divBdr>
                    <w:top w:val="none" w:sz="0" w:space="0" w:color="auto"/>
                    <w:left w:val="none" w:sz="0" w:space="0" w:color="auto"/>
                    <w:bottom w:val="none" w:sz="0" w:space="0" w:color="auto"/>
                    <w:right w:val="none" w:sz="0" w:space="0" w:color="auto"/>
                  </w:divBdr>
                  <w:divsChild>
                    <w:div w:id="212694131">
                      <w:marLeft w:val="0"/>
                      <w:marRight w:val="0"/>
                      <w:marTop w:val="0"/>
                      <w:marBottom w:val="0"/>
                      <w:divBdr>
                        <w:top w:val="none" w:sz="0" w:space="0" w:color="auto"/>
                        <w:left w:val="none" w:sz="0" w:space="0" w:color="auto"/>
                        <w:bottom w:val="none" w:sz="0" w:space="0" w:color="auto"/>
                        <w:right w:val="none" w:sz="0" w:space="0" w:color="auto"/>
                      </w:divBdr>
                      <w:divsChild>
                        <w:div w:id="161623731">
                          <w:marLeft w:val="0"/>
                          <w:marRight w:val="0"/>
                          <w:marTop w:val="0"/>
                          <w:marBottom w:val="0"/>
                          <w:divBdr>
                            <w:top w:val="none" w:sz="0" w:space="0" w:color="auto"/>
                            <w:left w:val="none" w:sz="0" w:space="0" w:color="auto"/>
                            <w:bottom w:val="none" w:sz="0" w:space="0" w:color="auto"/>
                            <w:right w:val="none" w:sz="0" w:space="0" w:color="auto"/>
                          </w:divBdr>
                          <w:divsChild>
                            <w:div w:id="732238826">
                              <w:marLeft w:val="0"/>
                              <w:marRight w:val="0"/>
                              <w:marTop w:val="0"/>
                              <w:marBottom w:val="0"/>
                              <w:divBdr>
                                <w:top w:val="none" w:sz="0" w:space="0" w:color="auto"/>
                                <w:left w:val="none" w:sz="0" w:space="0" w:color="auto"/>
                                <w:bottom w:val="none" w:sz="0" w:space="0" w:color="auto"/>
                                <w:right w:val="none" w:sz="0" w:space="0" w:color="auto"/>
                              </w:divBdr>
                              <w:divsChild>
                                <w:div w:id="785193910">
                                  <w:marLeft w:val="0"/>
                                  <w:marRight w:val="120"/>
                                  <w:marTop w:val="0"/>
                                  <w:marBottom w:val="0"/>
                                  <w:divBdr>
                                    <w:top w:val="none" w:sz="0" w:space="0" w:color="auto"/>
                                    <w:left w:val="none" w:sz="0" w:space="0" w:color="auto"/>
                                    <w:bottom w:val="none" w:sz="0" w:space="0" w:color="auto"/>
                                    <w:right w:val="none" w:sz="0" w:space="0" w:color="auto"/>
                                  </w:divBdr>
                                  <w:divsChild>
                                    <w:div w:id="1114136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76342129">
      <w:bodyDiv w:val="1"/>
      <w:marLeft w:val="0"/>
      <w:marRight w:val="0"/>
      <w:marTop w:val="0"/>
      <w:marBottom w:val="0"/>
      <w:divBdr>
        <w:top w:val="none" w:sz="0" w:space="0" w:color="auto"/>
        <w:left w:val="none" w:sz="0" w:space="0" w:color="auto"/>
        <w:bottom w:val="none" w:sz="0" w:space="0" w:color="auto"/>
        <w:right w:val="none" w:sz="0" w:space="0" w:color="auto"/>
      </w:divBdr>
      <w:divsChild>
        <w:div w:id="1111239687">
          <w:marLeft w:val="0"/>
          <w:marRight w:val="0"/>
          <w:marTop w:val="0"/>
          <w:marBottom w:val="0"/>
          <w:divBdr>
            <w:top w:val="none" w:sz="0" w:space="0" w:color="auto"/>
            <w:left w:val="none" w:sz="0" w:space="0" w:color="auto"/>
            <w:bottom w:val="none" w:sz="0" w:space="0" w:color="auto"/>
            <w:right w:val="none" w:sz="0" w:space="0" w:color="auto"/>
          </w:divBdr>
          <w:divsChild>
            <w:div w:id="2111779632">
              <w:marLeft w:val="0"/>
              <w:marRight w:val="0"/>
              <w:marTop w:val="0"/>
              <w:marBottom w:val="0"/>
              <w:divBdr>
                <w:top w:val="none" w:sz="0" w:space="0" w:color="auto"/>
                <w:left w:val="none" w:sz="0" w:space="0" w:color="auto"/>
                <w:bottom w:val="none" w:sz="0" w:space="0" w:color="auto"/>
                <w:right w:val="none" w:sz="0" w:space="0" w:color="auto"/>
              </w:divBdr>
              <w:divsChild>
                <w:div w:id="1971400177">
                  <w:marLeft w:val="0"/>
                  <w:marRight w:val="0"/>
                  <w:marTop w:val="0"/>
                  <w:marBottom w:val="0"/>
                  <w:divBdr>
                    <w:top w:val="none" w:sz="0" w:space="0" w:color="auto"/>
                    <w:left w:val="none" w:sz="0" w:space="0" w:color="auto"/>
                    <w:bottom w:val="none" w:sz="0" w:space="0" w:color="auto"/>
                    <w:right w:val="none" w:sz="0" w:space="0" w:color="auto"/>
                  </w:divBdr>
                  <w:divsChild>
                    <w:div w:id="1189179953">
                      <w:marLeft w:val="0"/>
                      <w:marRight w:val="0"/>
                      <w:marTop w:val="120"/>
                      <w:marBottom w:val="0"/>
                      <w:divBdr>
                        <w:top w:val="none" w:sz="0" w:space="0" w:color="auto"/>
                        <w:left w:val="none" w:sz="0" w:space="0" w:color="auto"/>
                        <w:bottom w:val="none" w:sz="0" w:space="0" w:color="auto"/>
                        <w:right w:val="none" w:sz="0" w:space="0" w:color="auto"/>
                      </w:divBdr>
                      <w:divsChild>
                        <w:div w:id="1658340112">
                          <w:marLeft w:val="0"/>
                          <w:marRight w:val="0"/>
                          <w:marTop w:val="0"/>
                          <w:marBottom w:val="0"/>
                          <w:divBdr>
                            <w:top w:val="none" w:sz="0" w:space="0" w:color="auto"/>
                            <w:left w:val="none" w:sz="0" w:space="0" w:color="auto"/>
                            <w:bottom w:val="none" w:sz="0" w:space="0" w:color="auto"/>
                            <w:right w:val="none" w:sz="0" w:space="0" w:color="auto"/>
                          </w:divBdr>
                          <w:divsChild>
                            <w:div w:id="1287203498">
                              <w:marLeft w:val="0"/>
                              <w:marRight w:val="0"/>
                              <w:marTop w:val="30"/>
                              <w:marBottom w:val="0"/>
                              <w:divBdr>
                                <w:top w:val="none" w:sz="0" w:space="0" w:color="auto"/>
                                <w:left w:val="none" w:sz="0" w:space="0" w:color="auto"/>
                                <w:bottom w:val="none" w:sz="0" w:space="0" w:color="auto"/>
                                <w:right w:val="none" w:sz="0" w:space="0" w:color="auto"/>
                              </w:divBdr>
                              <w:divsChild>
                                <w:div w:id="539172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2956799">
          <w:marLeft w:val="0"/>
          <w:marRight w:val="0"/>
          <w:marTop w:val="0"/>
          <w:marBottom w:val="0"/>
          <w:divBdr>
            <w:top w:val="none" w:sz="0" w:space="0" w:color="auto"/>
            <w:left w:val="none" w:sz="0" w:space="0" w:color="auto"/>
            <w:bottom w:val="none" w:sz="0" w:space="0" w:color="auto"/>
            <w:right w:val="none" w:sz="0" w:space="0" w:color="auto"/>
          </w:divBdr>
          <w:divsChild>
            <w:div w:id="1134835998">
              <w:marLeft w:val="0"/>
              <w:marRight w:val="0"/>
              <w:marTop w:val="0"/>
              <w:marBottom w:val="0"/>
              <w:divBdr>
                <w:top w:val="none" w:sz="0" w:space="0" w:color="auto"/>
                <w:left w:val="none" w:sz="0" w:space="0" w:color="auto"/>
                <w:bottom w:val="none" w:sz="0" w:space="0" w:color="auto"/>
                <w:right w:val="none" w:sz="0" w:space="0" w:color="auto"/>
              </w:divBdr>
              <w:divsChild>
                <w:div w:id="1746415501">
                  <w:marLeft w:val="0"/>
                  <w:marRight w:val="0"/>
                  <w:marTop w:val="0"/>
                  <w:marBottom w:val="0"/>
                  <w:divBdr>
                    <w:top w:val="none" w:sz="0" w:space="0" w:color="auto"/>
                    <w:left w:val="none" w:sz="0" w:space="0" w:color="auto"/>
                    <w:bottom w:val="none" w:sz="0" w:space="0" w:color="auto"/>
                    <w:right w:val="none" w:sz="0" w:space="0" w:color="auto"/>
                  </w:divBdr>
                  <w:divsChild>
                    <w:div w:id="1669167615">
                      <w:marLeft w:val="0"/>
                      <w:marRight w:val="0"/>
                      <w:marTop w:val="0"/>
                      <w:marBottom w:val="0"/>
                      <w:divBdr>
                        <w:top w:val="none" w:sz="0" w:space="0" w:color="auto"/>
                        <w:left w:val="none" w:sz="0" w:space="0" w:color="auto"/>
                        <w:bottom w:val="none" w:sz="0" w:space="0" w:color="auto"/>
                        <w:right w:val="none" w:sz="0" w:space="0" w:color="auto"/>
                      </w:divBdr>
                      <w:divsChild>
                        <w:div w:id="1375731903">
                          <w:marLeft w:val="0"/>
                          <w:marRight w:val="0"/>
                          <w:marTop w:val="0"/>
                          <w:marBottom w:val="0"/>
                          <w:divBdr>
                            <w:top w:val="none" w:sz="0" w:space="0" w:color="auto"/>
                            <w:left w:val="none" w:sz="0" w:space="0" w:color="auto"/>
                            <w:bottom w:val="none" w:sz="0" w:space="0" w:color="auto"/>
                            <w:right w:val="none" w:sz="0" w:space="0" w:color="auto"/>
                          </w:divBdr>
                          <w:divsChild>
                            <w:div w:id="501162105">
                              <w:marLeft w:val="0"/>
                              <w:marRight w:val="0"/>
                              <w:marTop w:val="0"/>
                              <w:marBottom w:val="0"/>
                              <w:divBdr>
                                <w:top w:val="none" w:sz="0" w:space="0" w:color="auto"/>
                                <w:left w:val="none" w:sz="0" w:space="0" w:color="auto"/>
                                <w:bottom w:val="none" w:sz="0" w:space="0" w:color="auto"/>
                                <w:right w:val="none" w:sz="0" w:space="0" w:color="auto"/>
                              </w:divBdr>
                              <w:divsChild>
                                <w:div w:id="307246578">
                                  <w:marLeft w:val="0"/>
                                  <w:marRight w:val="120"/>
                                  <w:marTop w:val="0"/>
                                  <w:marBottom w:val="0"/>
                                  <w:divBdr>
                                    <w:top w:val="none" w:sz="0" w:space="0" w:color="auto"/>
                                    <w:left w:val="none" w:sz="0" w:space="0" w:color="auto"/>
                                    <w:bottom w:val="none" w:sz="0" w:space="0" w:color="auto"/>
                                    <w:right w:val="none" w:sz="0" w:space="0" w:color="auto"/>
                                  </w:divBdr>
                                  <w:divsChild>
                                    <w:div w:id="40495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9077001">
      <w:bodyDiv w:val="1"/>
      <w:marLeft w:val="0"/>
      <w:marRight w:val="0"/>
      <w:marTop w:val="0"/>
      <w:marBottom w:val="0"/>
      <w:divBdr>
        <w:top w:val="none" w:sz="0" w:space="0" w:color="auto"/>
        <w:left w:val="none" w:sz="0" w:space="0" w:color="auto"/>
        <w:bottom w:val="none" w:sz="0" w:space="0" w:color="auto"/>
        <w:right w:val="none" w:sz="0" w:space="0" w:color="auto"/>
      </w:divBdr>
      <w:divsChild>
        <w:div w:id="1555383834">
          <w:marLeft w:val="0"/>
          <w:marRight w:val="0"/>
          <w:marTop w:val="0"/>
          <w:marBottom w:val="0"/>
          <w:divBdr>
            <w:top w:val="none" w:sz="0" w:space="0" w:color="auto"/>
            <w:left w:val="none" w:sz="0" w:space="0" w:color="auto"/>
            <w:bottom w:val="none" w:sz="0" w:space="0" w:color="auto"/>
            <w:right w:val="none" w:sz="0" w:space="0" w:color="auto"/>
          </w:divBdr>
        </w:div>
        <w:div w:id="1916013135">
          <w:marLeft w:val="0"/>
          <w:marRight w:val="0"/>
          <w:marTop w:val="0"/>
          <w:marBottom w:val="0"/>
          <w:divBdr>
            <w:top w:val="none" w:sz="0" w:space="0" w:color="auto"/>
            <w:left w:val="none" w:sz="0" w:space="0" w:color="auto"/>
            <w:bottom w:val="none" w:sz="0" w:space="0" w:color="auto"/>
            <w:right w:val="none" w:sz="0" w:space="0" w:color="auto"/>
          </w:divBdr>
        </w:div>
        <w:div w:id="2087723811">
          <w:marLeft w:val="0"/>
          <w:marRight w:val="0"/>
          <w:marTop w:val="0"/>
          <w:marBottom w:val="0"/>
          <w:divBdr>
            <w:top w:val="none" w:sz="0" w:space="0" w:color="auto"/>
            <w:left w:val="none" w:sz="0" w:space="0" w:color="auto"/>
            <w:bottom w:val="none" w:sz="0" w:space="0" w:color="auto"/>
            <w:right w:val="none" w:sz="0" w:space="0" w:color="auto"/>
          </w:divBdr>
        </w:div>
        <w:div w:id="307321987">
          <w:marLeft w:val="0"/>
          <w:marRight w:val="0"/>
          <w:marTop w:val="0"/>
          <w:marBottom w:val="0"/>
          <w:divBdr>
            <w:top w:val="none" w:sz="0" w:space="0" w:color="auto"/>
            <w:left w:val="none" w:sz="0" w:space="0" w:color="auto"/>
            <w:bottom w:val="none" w:sz="0" w:space="0" w:color="auto"/>
            <w:right w:val="none" w:sz="0" w:space="0" w:color="auto"/>
          </w:divBdr>
        </w:div>
        <w:div w:id="676232822">
          <w:marLeft w:val="0"/>
          <w:marRight w:val="0"/>
          <w:marTop w:val="0"/>
          <w:marBottom w:val="0"/>
          <w:divBdr>
            <w:top w:val="none" w:sz="0" w:space="0" w:color="auto"/>
            <w:left w:val="none" w:sz="0" w:space="0" w:color="auto"/>
            <w:bottom w:val="none" w:sz="0" w:space="0" w:color="auto"/>
            <w:right w:val="none" w:sz="0" w:space="0" w:color="auto"/>
          </w:divBdr>
        </w:div>
      </w:divsChild>
    </w:div>
    <w:div w:id="500857333">
      <w:bodyDiv w:val="1"/>
      <w:marLeft w:val="0"/>
      <w:marRight w:val="0"/>
      <w:marTop w:val="0"/>
      <w:marBottom w:val="0"/>
      <w:divBdr>
        <w:top w:val="none" w:sz="0" w:space="0" w:color="auto"/>
        <w:left w:val="none" w:sz="0" w:space="0" w:color="auto"/>
        <w:bottom w:val="none" w:sz="0" w:space="0" w:color="auto"/>
        <w:right w:val="none" w:sz="0" w:space="0" w:color="auto"/>
      </w:divBdr>
      <w:divsChild>
        <w:div w:id="718626496">
          <w:marLeft w:val="0"/>
          <w:marRight w:val="0"/>
          <w:marTop w:val="0"/>
          <w:marBottom w:val="0"/>
          <w:divBdr>
            <w:top w:val="none" w:sz="0" w:space="0" w:color="auto"/>
            <w:left w:val="none" w:sz="0" w:space="0" w:color="auto"/>
            <w:bottom w:val="none" w:sz="0" w:space="0" w:color="auto"/>
            <w:right w:val="none" w:sz="0" w:space="0" w:color="auto"/>
          </w:divBdr>
          <w:divsChild>
            <w:div w:id="1216351938">
              <w:marLeft w:val="0"/>
              <w:marRight w:val="0"/>
              <w:marTop w:val="0"/>
              <w:marBottom w:val="0"/>
              <w:divBdr>
                <w:top w:val="none" w:sz="0" w:space="0" w:color="auto"/>
                <w:left w:val="none" w:sz="0" w:space="0" w:color="auto"/>
                <w:bottom w:val="none" w:sz="0" w:space="0" w:color="auto"/>
                <w:right w:val="none" w:sz="0" w:space="0" w:color="auto"/>
              </w:divBdr>
              <w:divsChild>
                <w:div w:id="2073697257">
                  <w:marLeft w:val="0"/>
                  <w:marRight w:val="0"/>
                  <w:marTop w:val="120"/>
                  <w:marBottom w:val="0"/>
                  <w:divBdr>
                    <w:top w:val="none" w:sz="0" w:space="0" w:color="auto"/>
                    <w:left w:val="none" w:sz="0" w:space="0" w:color="auto"/>
                    <w:bottom w:val="none" w:sz="0" w:space="0" w:color="auto"/>
                    <w:right w:val="none" w:sz="0" w:space="0" w:color="auto"/>
                  </w:divBdr>
                  <w:divsChild>
                    <w:div w:id="1114247009">
                      <w:marLeft w:val="0"/>
                      <w:marRight w:val="0"/>
                      <w:marTop w:val="0"/>
                      <w:marBottom w:val="0"/>
                      <w:divBdr>
                        <w:top w:val="none" w:sz="0" w:space="0" w:color="auto"/>
                        <w:left w:val="none" w:sz="0" w:space="0" w:color="auto"/>
                        <w:bottom w:val="none" w:sz="0" w:space="0" w:color="auto"/>
                        <w:right w:val="none" w:sz="0" w:space="0" w:color="auto"/>
                      </w:divBdr>
                      <w:divsChild>
                        <w:div w:id="1641954630">
                          <w:marLeft w:val="0"/>
                          <w:marRight w:val="0"/>
                          <w:marTop w:val="0"/>
                          <w:marBottom w:val="0"/>
                          <w:divBdr>
                            <w:top w:val="none" w:sz="0" w:space="0" w:color="auto"/>
                            <w:left w:val="none" w:sz="0" w:space="0" w:color="auto"/>
                            <w:bottom w:val="none" w:sz="0" w:space="0" w:color="auto"/>
                            <w:right w:val="none" w:sz="0" w:space="0" w:color="auto"/>
                          </w:divBdr>
                          <w:divsChild>
                            <w:div w:id="62351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6594566">
      <w:bodyDiv w:val="1"/>
      <w:marLeft w:val="0"/>
      <w:marRight w:val="0"/>
      <w:marTop w:val="0"/>
      <w:marBottom w:val="0"/>
      <w:divBdr>
        <w:top w:val="none" w:sz="0" w:space="0" w:color="auto"/>
        <w:left w:val="none" w:sz="0" w:space="0" w:color="auto"/>
        <w:bottom w:val="none" w:sz="0" w:space="0" w:color="auto"/>
        <w:right w:val="none" w:sz="0" w:space="0" w:color="auto"/>
      </w:divBdr>
    </w:div>
    <w:div w:id="628782059">
      <w:bodyDiv w:val="1"/>
      <w:marLeft w:val="0"/>
      <w:marRight w:val="0"/>
      <w:marTop w:val="0"/>
      <w:marBottom w:val="0"/>
      <w:divBdr>
        <w:top w:val="none" w:sz="0" w:space="0" w:color="auto"/>
        <w:left w:val="none" w:sz="0" w:space="0" w:color="auto"/>
        <w:bottom w:val="none" w:sz="0" w:space="0" w:color="auto"/>
        <w:right w:val="none" w:sz="0" w:space="0" w:color="auto"/>
      </w:divBdr>
    </w:div>
    <w:div w:id="681710702">
      <w:bodyDiv w:val="1"/>
      <w:marLeft w:val="0"/>
      <w:marRight w:val="0"/>
      <w:marTop w:val="0"/>
      <w:marBottom w:val="0"/>
      <w:divBdr>
        <w:top w:val="none" w:sz="0" w:space="0" w:color="auto"/>
        <w:left w:val="none" w:sz="0" w:space="0" w:color="auto"/>
        <w:bottom w:val="none" w:sz="0" w:space="0" w:color="auto"/>
        <w:right w:val="none" w:sz="0" w:space="0" w:color="auto"/>
      </w:divBdr>
      <w:divsChild>
        <w:div w:id="1396009510">
          <w:marLeft w:val="0"/>
          <w:marRight w:val="0"/>
          <w:marTop w:val="0"/>
          <w:marBottom w:val="0"/>
          <w:divBdr>
            <w:top w:val="none" w:sz="0" w:space="0" w:color="auto"/>
            <w:left w:val="none" w:sz="0" w:space="0" w:color="auto"/>
            <w:bottom w:val="none" w:sz="0" w:space="0" w:color="auto"/>
            <w:right w:val="none" w:sz="0" w:space="0" w:color="auto"/>
          </w:divBdr>
        </w:div>
        <w:div w:id="1691368746">
          <w:marLeft w:val="0"/>
          <w:marRight w:val="0"/>
          <w:marTop w:val="0"/>
          <w:marBottom w:val="0"/>
          <w:divBdr>
            <w:top w:val="none" w:sz="0" w:space="0" w:color="auto"/>
            <w:left w:val="none" w:sz="0" w:space="0" w:color="auto"/>
            <w:bottom w:val="none" w:sz="0" w:space="0" w:color="auto"/>
            <w:right w:val="none" w:sz="0" w:space="0" w:color="auto"/>
          </w:divBdr>
        </w:div>
        <w:div w:id="329992211">
          <w:marLeft w:val="0"/>
          <w:marRight w:val="0"/>
          <w:marTop w:val="0"/>
          <w:marBottom w:val="0"/>
          <w:divBdr>
            <w:top w:val="none" w:sz="0" w:space="0" w:color="auto"/>
            <w:left w:val="none" w:sz="0" w:space="0" w:color="auto"/>
            <w:bottom w:val="none" w:sz="0" w:space="0" w:color="auto"/>
            <w:right w:val="none" w:sz="0" w:space="0" w:color="auto"/>
          </w:divBdr>
        </w:div>
        <w:div w:id="676075745">
          <w:marLeft w:val="0"/>
          <w:marRight w:val="0"/>
          <w:marTop w:val="0"/>
          <w:marBottom w:val="0"/>
          <w:divBdr>
            <w:top w:val="none" w:sz="0" w:space="0" w:color="auto"/>
            <w:left w:val="none" w:sz="0" w:space="0" w:color="auto"/>
            <w:bottom w:val="none" w:sz="0" w:space="0" w:color="auto"/>
            <w:right w:val="none" w:sz="0" w:space="0" w:color="auto"/>
          </w:divBdr>
        </w:div>
        <w:div w:id="195781049">
          <w:marLeft w:val="0"/>
          <w:marRight w:val="0"/>
          <w:marTop w:val="0"/>
          <w:marBottom w:val="0"/>
          <w:divBdr>
            <w:top w:val="none" w:sz="0" w:space="0" w:color="auto"/>
            <w:left w:val="none" w:sz="0" w:space="0" w:color="auto"/>
            <w:bottom w:val="none" w:sz="0" w:space="0" w:color="auto"/>
            <w:right w:val="none" w:sz="0" w:space="0" w:color="auto"/>
          </w:divBdr>
        </w:div>
      </w:divsChild>
    </w:div>
    <w:div w:id="684988010">
      <w:bodyDiv w:val="1"/>
      <w:marLeft w:val="0"/>
      <w:marRight w:val="0"/>
      <w:marTop w:val="0"/>
      <w:marBottom w:val="0"/>
      <w:divBdr>
        <w:top w:val="none" w:sz="0" w:space="0" w:color="auto"/>
        <w:left w:val="none" w:sz="0" w:space="0" w:color="auto"/>
        <w:bottom w:val="none" w:sz="0" w:space="0" w:color="auto"/>
        <w:right w:val="none" w:sz="0" w:space="0" w:color="auto"/>
      </w:divBdr>
      <w:divsChild>
        <w:div w:id="560096360">
          <w:marLeft w:val="0"/>
          <w:marRight w:val="0"/>
          <w:marTop w:val="0"/>
          <w:marBottom w:val="0"/>
          <w:divBdr>
            <w:top w:val="none" w:sz="0" w:space="0" w:color="auto"/>
            <w:left w:val="none" w:sz="0" w:space="0" w:color="auto"/>
            <w:bottom w:val="none" w:sz="0" w:space="0" w:color="auto"/>
            <w:right w:val="none" w:sz="0" w:space="0" w:color="auto"/>
          </w:divBdr>
        </w:div>
        <w:div w:id="393504144">
          <w:marLeft w:val="0"/>
          <w:marRight w:val="0"/>
          <w:marTop w:val="0"/>
          <w:marBottom w:val="0"/>
          <w:divBdr>
            <w:top w:val="none" w:sz="0" w:space="0" w:color="auto"/>
            <w:left w:val="none" w:sz="0" w:space="0" w:color="auto"/>
            <w:bottom w:val="none" w:sz="0" w:space="0" w:color="auto"/>
            <w:right w:val="none" w:sz="0" w:space="0" w:color="auto"/>
          </w:divBdr>
        </w:div>
        <w:div w:id="1579093230">
          <w:marLeft w:val="0"/>
          <w:marRight w:val="0"/>
          <w:marTop w:val="0"/>
          <w:marBottom w:val="0"/>
          <w:divBdr>
            <w:top w:val="none" w:sz="0" w:space="0" w:color="auto"/>
            <w:left w:val="none" w:sz="0" w:space="0" w:color="auto"/>
            <w:bottom w:val="none" w:sz="0" w:space="0" w:color="auto"/>
            <w:right w:val="none" w:sz="0" w:space="0" w:color="auto"/>
          </w:divBdr>
        </w:div>
        <w:div w:id="624502114">
          <w:marLeft w:val="0"/>
          <w:marRight w:val="0"/>
          <w:marTop w:val="0"/>
          <w:marBottom w:val="0"/>
          <w:divBdr>
            <w:top w:val="none" w:sz="0" w:space="0" w:color="auto"/>
            <w:left w:val="none" w:sz="0" w:space="0" w:color="auto"/>
            <w:bottom w:val="none" w:sz="0" w:space="0" w:color="auto"/>
            <w:right w:val="none" w:sz="0" w:space="0" w:color="auto"/>
          </w:divBdr>
        </w:div>
      </w:divsChild>
    </w:div>
    <w:div w:id="785466389">
      <w:bodyDiv w:val="1"/>
      <w:marLeft w:val="0"/>
      <w:marRight w:val="0"/>
      <w:marTop w:val="0"/>
      <w:marBottom w:val="0"/>
      <w:divBdr>
        <w:top w:val="none" w:sz="0" w:space="0" w:color="auto"/>
        <w:left w:val="none" w:sz="0" w:space="0" w:color="auto"/>
        <w:bottom w:val="none" w:sz="0" w:space="0" w:color="auto"/>
        <w:right w:val="none" w:sz="0" w:space="0" w:color="auto"/>
      </w:divBdr>
      <w:divsChild>
        <w:div w:id="1495367577">
          <w:marLeft w:val="0"/>
          <w:marRight w:val="0"/>
          <w:marTop w:val="0"/>
          <w:marBottom w:val="0"/>
          <w:divBdr>
            <w:top w:val="none" w:sz="0" w:space="0" w:color="auto"/>
            <w:left w:val="none" w:sz="0" w:space="0" w:color="auto"/>
            <w:bottom w:val="none" w:sz="0" w:space="0" w:color="auto"/>
            <w:right w:val="none" w:sz="0" w:space="0" w:color="auto"/>
          </w:divBdr>
          <w:divsChild>
            <w:div w:id="682126122">
              <w:marLeft w:val="0"/>
              <w:marRight w:val="0"/>
              <w:marTop w:val="0"/>
              <w:marBottom w:val="0"/>
              <w:divBdr>
                <w:top w:val="none" w:sz="0" w:space="0" w:color="auto"/>
                <w:left w:val="none" w:sz="0" w:space="0" w:color="auto"/>
                <w:bottom w:val="none" w:sz="0" w:space="0" w:color="auto"/>
                <w:right w:val="none" w:sz="0" w:space="0" w:color="auto"/>
              </w:divBdr>
              <w:divsChild>
                <w:div w:id="1331371374">
                  <w:marLeft w:val="0"/>
                  <w:marRight w:val="0"/>
                  <w:marTop w:val="120"/>
                  <w:marBottom w:val="0"/>
                  <w:divBdr>
                    <w:top w:val="none" w:sz="0" w:space="0" w:color="auto"/>
                    <w:left w:val="none" w:sz="0" w:space="0" w:color="auto"/>
                    <w:bottom w:val="none" w:sz="0" w:space="0" w:color="auto"/>
                    <w:right w:val="none" w:sz="0" w:space="0" w:color="auto"/>
                  </w:divBdr>
                  <w:divsChild>
                    <w:div w:id="1536767939">
                      <w:marLeft w:val="0"/>
                      <w:marRight w:val="0"/>
                      <w:marTop w:val="0"/>
                      <w:marBottom w:val="0"/>
                      <w:divBdr>
                        <w:top w:val="none" w:sz="0" w:space="0" w:color="auto"/>
                        <w:left w:val="none" w:sz="0" w:space="0" w:color="auto"/>
                        <w:bottom w:val="none" w:sz="0" w:space="0" w:color="auto"/>
                        <w:right w:val="none" w:sz="0" w:space="0" w:color="auto"/>
                      </w:divBdr>
                      <w:divsChild>
                        <w:div w:id="161550943">
                          <w:marLeft w:val="0"/>
                          <w:marRight w:val="0"/>
                          <w:marTop w:val="30"/>
                          <w:marBottom w:val="0"/>
                          <w:divBdr>
                            <w:top w:val="none" w:sz="0" w:space="0" w:color="auto"/>
                            <w:left w:val="none" w:sz="0" w:space="0" w:color="auto"/>
                            <w:bottom w:val="none" w:sz="0" w:space="0" w:color="auto"/>
                            <w:right w:val="none" w:sz="0" w:space="0" w:color="auto"/>
                          </w:divBdr>
                          <w:divsChild>
                            <w:div w:id="1984390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3107419">
      <w:bodyDiv w:val="1"/>
      <w:marLeft w:val="0"/>
      <w:marRight w:val="0"/>
      <w:marTop w:val="0"/>
      <w:marBottom w:val="0"/>
      <w:divBdr>
        <w:top w:val="none" w:sz="0" w:space="0" w:color="auto"/>
        <w:left w:val="none" w:sz="0" w:space="0" w:color="auto"/>
        <w:bottom w:val="none" w:sz="0" w:space="0" w:color="auto"/>
        <w:right w:val="none" w:sz="0" w:space="0" w:color="auto"/>
      </w:divBdr>
      <w:divsChild>
        <w:div w:id="1668171929">
          <w:marLeft w:val="0"/>
          <w:marRight w:val="0"/>
          <w:marTop w:val="0"/>
          <w:marBottom w:val="0"/>
          <w:divBdr>
            <w:top w:val="none" w:sz="0" w:space="0" w:color="auto"/>
            <w:left w:val="none" w:sz="0" w:space="0" w:color="auto"/>
            <w:bottom w:val="none" w:sz="0" w:space="0" w:color="auto"/>
            <w:right w:val="none" w:sz="0" w:space="0" w:color="auto"/>
          </w:divBdr>
          <w:divsChild>
            <w:div w:id="506871491">
              <w:marLeft w:val="0"/>
              <w:marRight w:val="0"/>
              <w:marTop w:val="0"/>
              <w:marBottom w:val="0"/>
              <w:divBdr>
                <w:top w:val="none" w:sz="0" w:space="0" w:color="auto"/>
                <w:left w:val="none" w:sz="0" w:space="0" w:color="auto"/>
                <w:bottom w:val="none" w:sz="0" w:space="0" w:color="auto"/>
                <w:right w:val="none" w:sz="0" w:space="0" w:color="auto"/>
              </w:divBdr>
              <w:divsChild>
                <w:div w:id="315376155">
                  <w:marLeft w:val="0"/>
                  <w:marRight w:val="0"/>
                  <w:marTop w:val="0"/>
                  <w:marBottom w:val="0"/>
                  <w:divBdr>
                    <w:top w:val="none" w:sz="0" w:space="0" w:color="auto"/>
                    <w:left w:val="none" w:sz="0" w:space="0" w:color="auto"/>
                    <w:bottom w:val="none" w:sz="0" w:space="0" w:color="auto"/>
                    <w:right w:val="none" w:sz="0" w:space="0" w:color="auto"/>
                  </w:divBdr>
                  <w:divsChild>
                    <w:div w:id="985822026">
                      <w:marLeft w:val="0"/>
                      <w:marRight w:val="0"/>
                      <w:marTop w:val="120"/>
                      <w:marBottom w:val="0"/>
                      <w:divBdr>
                        <w:top w:val="none" w:sz="0" w:space="0" w:color="auto"/>
                        <w:left w:val="none" w:sz="0" w:space="0" w:color="auto"/>
                        <w:bottom w:val="none" w:sz="0" w:space="0" w:color="auto"/>
                        <w:right w:val="none" w:sz="0" w:space="0" w:color="auto"/>
                      </w:divBdr>
                      <w:divsChild>
                        <w:div w:id="259605327">
                          <w:marLeft w:val="0"/>
                          <w:marRight w:val="0"/>
                          <w:marTop w:val="0"/>
                          <w:marBottom w:val="0"/>
                          <w:divBdr>
                            <w:top w:val="none" w:sz="0" w:space="0" w:color="auto"/>
                            <w:left w:val="none" w:sz="0" w:space="0" w:color="auto"/>
                            <w:bottom w:val="none" w:sz="0" w:space="0" w:color="auto"/>
                            <w:right w:val="none" w:sz="0" w:space="0" w:color="auto"/>
                          </w:divBdr>
                          <w:divsChild>
                            <w:div w:id="566232852">
                              <w:marLeft w:val="0"/>
                              <w:marRight w:val="0"/>
                              <w:marTop w:val="0"/>
                              <w:marBottom w:val="0"/>
                              <w:divBdr>
                                <w:top w:val="none" w:sz="0" w:space="0" w:color="auto"/>
                                <w:left w:val="none" w:sz="0" w:space="0" w:color="auto"/>
                                <w:bottom w:val="none" w:sz="0" w:space="0" w:color="auto"/>
                                <w:right w:val="none" w:sz="0" w:space="0" w:color="auto"/>
                              </w:divBdr>
                              <w:divsChild>
                                <w:div w:id="54009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5671214">
          <w:marLeft w:val="0"/>
          <w:marRight w:val="0"/>
          <w:marTop w:val="0"/>
          <w:marBottom w:val="0"/>
          <w:divBdr>
            <w:top w:val="none" w:sz="0" w:space="0" w:color="auto"/>
            <w:left w:val="none" w:sz="0" w:space="0" w:color="auto"/>
            <w:bottom w:val="none" w:sz="0" w:space="0" w:color="auto"/>
            <w:right w:val="none" w:sz="0" w:space="0" w:color="auto"/>
          </w:divBdr>
          <w:divsChild>
            <w:div w:id="752319592">
              <w:marLeft w:val="0"/>
              <w:marRight w:val="0"/>
              <w:marTop w:val="0"/>
              <w:marBottom w:val="0"/>
              <w:divBdr>
                <w:top w:val="none" w:sz="0" w:space="0" w:color="auto"/>
                <w:left w:val="none" w:sz="0" w:space="0" w:color="auto"/>
                <w:bottom w:val="none" w:sz="0" w:space="0" w:color="auto"/>
                <w:right w:val="none" w:sz="0" w:space="0" w:color="auto"/>
              </w:divBdr>
              <w:divsChild>
                <w:div w:id="1519932119">
                  <w:marLeft w:val="0"/>
                  <w:marRight w:val="0"/>
                  <w:marTop w:val="0"/>
                  <w:marBottom w:val="0"/>
                  <w:divBdr>
                    <w:top w:val="none" w:sz="0" w:space="0" w:color="auto"/>
                    <w:left w:val="none" w:sz="0" w:space="0" w:color="auto"/>
                    <w:bottom w:val="none" w:sz="0" w:space="0" w:color="auto"/>
                    <w:right w:val="none" w:sz="0" w:space="0" w:color="auto"/>
                  </w:divBdr>
                  <w:divsChild>
                    <w:div w:id="32704531">
                      <w:marLeft w:val="0"/>
                      <w:marRight w:val="0"/>
                      <w:marTop w:val="0"/>
                      <w:marBottom w:val="0"/>
                      <w:divBdr>
                        <w:top w:val="none" w:sz="0" w:space="0" w:color="auto"/>
                        <w:left w:val="none" w:sz="0" w:space="0" w:color="auto"/>
                        <w:bottom w:val="none" w:sz="0" w:space="0" w:color="auto"/>
                        <w:right w:val="none" w:sz="0" w:space="0" w:color="auto"/>
                      </w:divBdr>
                      <w:divsChild>
                        <w:div w:id="731271396">
                          <w:marLeft w:val="0"/>
                          <w:marRight w:val="0"/>
                          <w:marTop w:val="0"/>
                          <w:marBottom w:val="0"/>
                          <w:divBdr>
                            <w:top w:val="none" w:sz="0" w:space="0" w:color="auto"/>
                            <w:left w:val="none" w:sz="0" w:space="0" w:color="auto"/>
                            <w:bottom w:val="none" w:sz="0" w:space="0" w:color="auto"/>
                            <w:right w:val="none" w:sz="0" w:space="0" w:color="auto"/>
                          </w:divBdr>
                          <w:divsChild>
                            <w:div w:id="1984694324">
                              <w:marLeft w:val="0"/>
                              <w:marRight w:val="0"/>
                              <w:marTop w:val="0"/>
                              <w:marBottom w:val="0"/>
                              <w:divBdr>
                                <w:top w:val="none" w:sz="0" w:space="0" w:color="auto"/>
                                <w:left w:val="none" w:sz="0" w:space="0" w:color="auto"/>
                                <w:bottom w:val="none" w:sz="0" w:space="0" w:color="auto"/>
                                <w:right w:val="none" w:sz="0" w:space="0" w:color="auto"/>
                              </w:divBdr>
                              <w:divsChild>
                                <w:div w:id="1464228006">
                                  <w:marLeft w:val="0"/>
                                  <w:marRight w:val="120"/>
                                  <w:marTop w:val="0"/>
                                  <w:marBottom w:val="0"/>
                                  <w:divBdr>
                                    <w:top w:val="none" w:sz="0" w:space="0" w:color="auto"/>
                                    <w:left w:val="none" w:sz="0" w:space="0" w:color="auto"/>
                                    <w:bottom w:val="none" w:sz="0" w:space="0" w:color="auto"/>
                                    <w:right w:val="none" w:sz="0" w:space="0" w:color="auto"/>
                                  </w:divBdr>
                                  <w:divsChild>
                                    <w:div w:id="79753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6457390">
      <w:bodyDiv w:val="1"/>
      <w:marLeft w:val="0"/>
      <w:marRight w:val="0"/>
      <w:marTop w:val="0"/>
      <w:marBottom w:val="0"/>
      <w:divBdr>
        <w:top w:val="none" w:sz="0" w:space="0" w:color="auto"/>
        <w:left w:val="none" w:sz="0" w:space="0" w:color="auto"/>
        <w:bottom w:val="none" w:sz="0" w:space="0" w:color="auto"/>
        <w:right w:val="none" w:sz="0" w:space="0" w:color="auto"/>
      </w:divBdr>
      <w:divsChild>
        <w:div w:id="1108506401">
          <w:marLeft w:val="0"/>
          <w:marRight w:val="0"/>
          <w:marTop w:val="0"/>
          <w:marBottom w:val="0"/>
          <w:divBdr>
            <w:top w:val="none" w:sz="0" w:space="0" w:color="auto"/>
            <w:left w:val="none" w:sz="0" w:space="0" w:color="auto"/>
            <w:bottom w:val="none" w:sz="0" w:space="0" w:color="auto"/>
            <w:right w:val="none" w:sz="0" w:space="0" w:color="auto"/>
          </w:divBdr>
          <w:divsChild>
            <w:div w:id="738598052">
              <w:marLeft w:val="0"/>
              <w:marRight w:val="0"/>
              <w:marTop w:val="0"/>
              <w:marBottom w:val="0"/>
              <w:divBdr>
                <w:top w:val="none" w:sz="0" w:space="0" w:color="auto"/>
                <w:left w:val="none" w:sz="0" w:space="0" w:color="auto"/>
                <w:bottom w:val="none" w:sz="0" w:space="0" w:color="auto"/>
                <w:right w:val="none" w:sz="0" w:space="0" w:color="auto"/>
              </w:divBdr>
              <w:divsChild>
                <w:div w:id="1762876283">
                  <w:marLeft w:val="0"/>
                  <w:marRight w:val="0"/>
                  <w:marTop w:val="0"/>
                  <w:marBottom w:val="0"/>
                  <w:divBdr>
                    <w:top w:val="none" w:sz="0" w:space="0" w:color="auto"/>
                    <w:left w:val="none" w:sz="0" w:space="0" w:color="auto"/>
                    <w:bottom w:val="none" w:sz="0" w:space="0" w:color="auto"/>
                    <w:right w:val="none" w:sz="0" w:space="0" w:color="auto"/>
                  </w:divBdr>
                  <w:divsChild>
                    <w:div w:id="1221595377">
                      <w:marLeft w:val="0"/>
                      <w:marRight w:val="0"/>
                      <w:marTop w:val="120"/>
                      <w:marBottom w:val="0"/>
                      <w:divBdr>
                        <w:top w:val="none" w:sz="0" w:space="0" w:color="auto"/>
                        <w:left w:val="none" w:sz="0" w:space="0" w:color="auto"/>
                        <w:bottom w:val="none" w:sz="0" w:space="0" w:color="auto"/>
                        <w:right w:val="none" w:sz="0" w:space="0" w:color="auto"/>
                      </w:divBdr>
                      <w:divsChild>
                        <w:div w:id="1477381837">
                          <w:marLeft w:val="0"/>
                          <w:marRight w:val="0"/>
                          <w:marTop w:val="0"/>
                          <w:marBottom w:val="0"/>
                          <w:divBdr>
                            <w:top w:val="none" w:sz="0" w:space="0" w:color="auto"/>
                            <w:left w:val="none" w:sz="0" w:space="0" w:color="auto"/>
                            <w:bottom w:val="none" w:sz="0" w:space="0" w:color="auto"/>
                            <w:right w:val="none" w:sz="0" w:space="0" w:color="auto"/>
                          </w:divBdr>
                          <w:divsChild>
                            <w:div w:id="1268465420">
                              <w:marLeft w:val="0"/>
                              <w:marRight w:val="0"/>
                              <w:marTop w:val="0"/>
                              <w:marBottom w:val="0"/>
                              <w:divBdr>
                                <w:top w:val="none" w:sz="0" w:space="0" w:color="auto"/>
                                <w:left w:val="none" w:sz="0" w:space="0" w:color="auto"/>
                                <w:bottom w:val="none" w:sz="0" w:space="0" w:color="auto"/>
                                <w:right w:val="none" w:sz="0" w:space="0" w:color="auto"/>
                              </w:divBdr>
                              <w:divsChild>
                                <w:div w:id="1698970100">
                                  <w:marLeft w:val="0"/>
                                  <w:marRight w:val="0"/>
                                  <w:marTop w:val="0"/>
                                  <w:marBottom w:val="0"/>
                                  <w:divBdr>
                                    <w:top w:val="none" w:sz="0" w:space="0" w:color="auto"/>
                                    <w:left w:val="none" w:sz="0" w:space="0" w:color="auto"/>
                                    <w:bottom w:val="none" w:sz="0" w:space="0" w:color="auto"/>
                                    <w:right w:val="none" w:sz="0" w:space="0" w:color="auto"/>
                                  </w:divBdr>
                                </w:div>
                                <w:div w:id="1519149966">
                                  <w:marLeft w:val="0"/>
                                  <w:marRight w:val="0"/>
                                  <w:marTop w:val="0"/>
                                  <w:marBottom w:val="0"/>
                                  <w:divBdr>
                                    <w:top w:val="none" w:sz="0" w:space="0" w:color="auto"/>
                                    <w:left w:val="none" w:sz="0" w:space="0" w:color="auto"/>
                                    <w:bottom w:val="none" w:sz="0" w:space="0" w:color="auto"/>
                                    <w:right w:val="none" w:sz="0" w:space="0" w:color="auto"/>
                                  </w:divBdr>
                                </w:div>
                                <w:div w:id="1493989052">
                                  <w:marLeft w:val="0"/>
                                  <w:marRight w:val="0"/>
                                  <w:marTop w:val="0"/>
                                  <w:marBottom w:val="0"/>
                                  <w:divBdr>
                                    <w:top w:val="none" w:sz="0" w:space="0" w:color="auto"/>
                                    <w:left w:val="none" w:sz="0" w:space="0" w:color="auto"/>
                                    <w:bottom w:val="none" w:sz="0" w:space="0" w:color="auto"/>
                                    <w:right w:val="none" w:sz="0" w:space="0" w:color="auto"/>
                                  </w:divBdr>
                                </w:div>
                                <w:div w:id="619603162">
                                  <w:marLeft w:val="0"/>
                                  <w:marRight w:val="0"/>
                                  <w:marTop w:val="0"/>
                                  <w:marBottom w:val="0"/>
                                  <w:divBdr>
                                    <w:top w:val="none" w:sz="0" w:space="0" w:color="auto"/>
                                    <w:left w:val="none" w:sz="0" w:space="0" w:color="auto"/>
                                    <w:bottom w:val="none" w:sz="0" w:space="0" w:color="auto"/>
                                    <w:right w:val="none" w:sz="0" w:space="0" w:color="auto"/>
                                  </w:divBdr>
                                </w:div>
                                <w:div w:id="382287847">
                                  <w:marLeft w:val="0"/>
                                  <w:marRight w:val="0"/>
                                  <w:marTop w:val="0"/>
                                  <w:marBottom w:val="0"/>
                                  <w:divBdr>
                                    <w:top w:val="none" w:sz="0" w:space="0" w:color="auto"/>
                                    <w:left w:val="none" w:sz="0" w:space="0" w:color="auto"/>
                                    <w:bottom w:val="none" w:sz="0" w:space="0" w:color="auto"/>
                                    <w:right w:val="none" w:sz="0" w:space="0" w:color="auto"/>
                                  </w:divBdr>
                                </w:div>
                                <w:div w:id="544754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5136324">
          <w:marLeft w:val="0"/>
          <w:marRight w:val="0"/>
          <w:marTop w:val="0"/>
          <w:marBottom w:val="0"/>
          <w:divBdr>
            <w:top w:val="none" w:sz="0" w:space="0" w:color="auto"/>
            <w:left w:val="none" w:sz="0" w:space="0" w:color="auto"/>
            <w:bottom w:val="none" w:sz="0" w:space="0" w:color="auto"/>
            <w:right w:val="none" w:sz="0" w:space="0" w:color="auto"/>
          </w:divBdr>
          <w:divsChild>
            <w:div w:id="1401368873">
              <w:marLeft w:val="0"/>
              <w:marRight w:val="0"/>
              <w:marTop w:val="0"/>
              <w:marBottom w:val="0"/>
              <w:divBdr>
                <w:top w:val="none" w:sz="0" w:space="0" w:color="auto"/>
                <w:left w:val="none" w:sz="0" w:space="0" w:color="auto"/>
                <w:bottom w:val="none" w:sz="0" w:space="0" w:color="auto"/>
                <w:right w:val="none" w:sz="0" w:space="0" w:color="auto"/>
              </w:divBdr>
              <w:divsChild>
                <w:div w:id="1916553063">
                  <w:marLeft w:val="0"/>
                  <w:marRight w:val="0"/>
                  <w:marTop w:val="0"/>
                  <w:marBottom w:val="0"/>
                  <w:divBdr>
                    <w:top w:val="none" w:sz="0" w:space="0" w:color="auto"/>
                    <w:left w:val="none" w:sz="0" w:space="0" w:color="auto"/>
                    <w:bottom w:val="none" w:sz="0" w:space="0" w:color="auto"/>
                    <w:right w:val="none" w:sz="0" w:space="0" w:color="auto"/>
                  </w:divBdr>
                  <w:divsChild>
                    <w:div w:id="1564486135">
                      <w:marLeft w:val="0"/>
                      <w:marRight w:val="0"/>
                      <w:marTop w:val="0"/>
                      <w:marBottom w:val="0"/>
                      <w:divBdr>
                        <w:top w:val="none" w:sz="0" w:space="0" w:color="auto"/>
                        <w:left w:val="none" w:sz="0" w:space="0" w:color="auto"/>
                        <w:bottom w:val="none" w:sz="0" w:space="0" w:color="auto"/>
                        <w:right w:val="none" w:sz="0" w:space="0" w:color="auto"/>
                      </w:divBdr>
                      <w:divsChild>
                        <w:div w:id="207232220">
                          <w:marLeft w:val="0"/>
                          <w:marRight w:val="0"/>
                          <w:marTop w:val="0"/>
                          <w:marBottom w:val="0"/>
                          <w:divBdr>
                            <w:top w:val="none" w:sz="0" w:space="0" w:color="auto"/>
                            <w:left w:val="none" w:sz="0" w:space="0" w:color="auto"/>
                            <w:bottom w:val="none" w:sz="0" w:space="0" w:color="auto"/>
                            <w:right w:val="none" w:sz="0" w:space="0" w:color="auto"/>
                          </w:divBdr>
                          <w:divsChild>
                            <w:div w:id="1518424207">
                              <w:marLeft w:val="0"/>
                              <w:marRight w:val="0"/>
                              <w:marTop w:val="0"/>
                              <w:marBottom w:val="0"/>
                              <w:divBdr>
                                <w:top w:val="none" w:sz="0" w:space="0" w:color="auto"/>
                                <w:left w:val="none" w:sz="0" w:space="0" w:color="auto"/>
                                <w:bottom w:val="none" w:sz="0" w:space="0" w:color="auto"/>
                                <w:right w:val="none" w:sz="0" w:space="0" w:color="auto"/>
                              </w:divBdr>
                              <w:divsChild>
                                <w:div w:id="4670868">
                                  <w:marLeft w:val="0"/>
                                  <w:marRight w:val="120"/>
                                  <w:marTop w:val="0"/>
                                  <w:marBottom w:val="0"/>
                                  <w:divBdr>
                                    <w:top w:val="none" w:sz="0" w:space="0" w:color="auto"/>
                                    <w:left w:val="none" w:sz="0" w:space="0" w:color="auto"/>
                                    <w:bottom w:val="none" w:sz="0" w:space="0" w:color="auto"/>
                                    <w:right w:val="none" w:sz="0" w:space="0" w:color="auto"/>
                                  </w:divBdr>
                                  <w:divsChild>
                                    <w:div w:id="1647198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5696164">
      <w:bodyDiv w:val="1"/>
      <w:marLeft w:val="0"/>
      <w:marRight w:val="0"/>
      <w:marTop w:val="0"/>
      <w:marBottom w:val="0"/>
      <w:divBdr>
        <w:top w:val="none" w:sz="0" w:space="0" w:color="auto"/>
        <w:left w:val="none" w:sz="0" w:space="0" w:color="auto"/>
        <w:bottom w:val="none" w:sz="0" w:space="0" w:color="auto"/>
        <w:right w:val="none" w:sz="0" w:space="0" w:color="auto"/>
      </w:divBdr>
    </w:div>
    <w:div w:id="923104055">
      <w:bodyDiv w:val="1"/>
      <w:marLeft w:val="0"/>
      <w:marRight w:val="0"/>
      <w:marTop w:val="0"/>
      <w:marBottom w:val="0"/>
      <w:divBdr>
        <w:top w:val="none" w:sz="0" w:space="0" w:color="auto"/>
        <w:left w:val="none" w:sz="0" w:space="0" w:color="auto"/>
        <w:bottom w:val="none" w:sz="0" w:space="0" w:color="auto"/>
        <w:right w:val="none" w:sz="0" w:space="0" w:color="auto"/>
      </w:divBdr>
      <w:divsChild>
        <w:div w:id="1140920321">
          <w:marLeft w:val="0"/>
          <w:marRight w:val="0"/>
          <w:marTop w:val="0"/>
          <w:marBottom w:val="0"/>
          <w:divBdr>
            <w:top w:val="none" w:sz="0" w:space="0" w:color="auto"/>
            <w:left w:val="none" w:sz="0" w:space="0" w:color="auto"/>
            <w:bottom w:val="none" w:sz="0" w:space="0" w:color="auto"/>
            <w:right w:val="none" w:sz="0" w:space="0" w:color="auto"/>
          </w:divBdr>
        </w:div>
        <w:div w:id="1738940470">
          <w:marLeft w:val="0"/>
          <w:marRight w:val="0"/>
          <w:marTop w:val="0"/>
          <w:marBottom w:val="0"/>
          <w:divBdr>
            <w:top w:val="none" w:sz="0" w:space="0" w:color="auto"/>
            <w:left w:val="none" w:sz="0" w:space="0" w:color="auto"/>
            <w:bottom w:val="none" w:sz="0" w:space="0" w:color="auto"/>
            <w:right w:val="none" w:sz="0" w:space="0" w:color="auto"/>
          </w:divBdr>
          <w:divsChild>
            <w:div w:id="361829993">
              <w:marLeft w:val="0"/>
              <w:marRight w:val="0"/>
              <w:marTop w:val="0"/>
              <w:marBottom w:val="0"/>
              <w:divBdr>
                <w:top w:val="none" w:sz="0" w:space="0" w:color="auto"/>
                <w:left w:val="none" w:sz="0" w:space="0" w:color="auto"/>
                <w:bottom w:val="none" w:sz="0" w:space="0" w:color="auto"/>
                <w:right w:val="none" w:sz="0" w:space="0" w:color="auto"/>
              </w:divBdr>
            </w:div>
            <w:div w:id="997733512">
              <w:marLeft w:val="0"/>
              <w:marRight w:val="0"/>
              <w:marTop w:val="0"/>
              <w:marBottom w:val="0"/>
              <w:divBdr>
                <w:top w:val="none" w:sz="0" w:space="0" w:color="auto"/>
                <w:left w:val="none" w:sz="0" w:space="0" w:color="auto"/>
                <w:bottom w:val="none" w:sz="0" w:space="0" w:color="auto"/>
                <w:right w:val="none" w:sz="0" w:space="0" w:color="auto"/>
              </w:divBdr>
            </w:div>
            <w:div w:id="1318071678">
              <w:marLeft w:val="0"/>
              <w:marRight w:val="0"/>
              <w:marTop w:val="0"/>
              <w:marBottom w:val="0"/>
              <w:divBdr>
                <w:top w:val="none" w:sz="0" w:space="0" w:color="auto"/>
                <w:left w:val="none" w:sz="0" w:space="0" w:color="auto"/>
                <w:bottom w:val="none" w:sz="0" w:space="0" w:color="auto"/>
                <w:right w:val="none" w:sz="0" w:space="0" w:color="auto"/>
              </w:divBdr>
            </w:div>
            <w:div w:id="1418595780">
              <w:marLeft w:val="0"/>
              <w:marRight w:val="0"/>
              <w:marTop w:val="0"/>
              <w:marBottom w:val="0"/>
              <w:divBdr>
                <w:top w:val="none" w:sz="0" w:space="0" w:color="auto"/>
                <w:left w:val="none" w:sz="0" w:space="0" w:color="auto"/>
                <w:bottom w:val="none" w:sz="0" w:space="0" w:color="auto"/>
                <w:right w:val="none" w:sz="0" w:space="0" w:color="auto"/>
              </w:divBdr>
            </w:div>
            <w:div w:id="812212706">
              <w:marLeft w:val="0"/>
              <w:marRight w:val="0"/>
              <w:marTop w:val="0"/>
              <w:marBottom w:val="0"/>
              <w:divBdr>
                <w:top w:val="none" w:sz="0" w:space="0" w:color="auto"/>
                <w:left w:val="none" w:sz="0" w:space="0" w:color="auto"/>
                <w:bottom w:val="none" w:sz="0" w:space="0" w:color="auto"/>
                <w:right w:val="none" w:sz="0" w:space="0" w:color="auto"/>
              </w:divBdr>
            </w:div>
            <w:div w:id="787357564">
              <w:marLeft w:val="0"/>
              <w:marRight w:val="0"/>
              <w:marTop w:val="0"/>
              <w:marBottom w:val="0"/>
              <w:divBdr>
                <w:top w:val="none" w:sz="0" w:space="0" w:color="auto"/>
                <w:left w:val="none" w:sz="0" w:space="0" w:color="auto"/>
                <w:bottom w:val="none" w:sz="0" w:space="0" w:color="auto"/>
                <w:right w:val="none" w:sz="0" w:space="0" w:color="auto"/>
              </w:divBdr>
            </w:div>
            <w:div w:id="1921139054">
              <w:marLeft w:val="0"/>
              <w:marRight w:val="0"/>
              <w:marTop w:val="0"/>
              <w:marBottom w:val="0"/>
              <w:divBdr>
                <w:top w:val="none" w:sz="0" w:space="0" w:color="auto"/>
                <w:left w:val="none" w:sz="0" w:space="0" w:color="auto"/>
                <w:bottom w:val="none" w:sz="0" w:space="0" w:color="auto"/>
                <w:right w:val="none" w:sz="0" w:space="0" w:color="auto"/>
              </w:divBdr>
            </w:div>
            <w:div w:id="667904361">
              <w:marLeft w:val="0"/>
              <w:marRight w:val="0"/>
              <w:marTop w:val="0"/>
              <w:marBottom w:val="0"/>
              <w:divBdr>
                <w:top w:val="none" w:sz="0" w:space="0" w:color="auto"/>
                <w:left w:val="none" w:sz="0" w:space="0" w:color="auto"/>
                <w:bottom w:val="none" w:sz="0" w:space="0" w:color="auto"/>
                <w:right w:val="none" w:sz="0" w:space="0" w:color="auto"/>
              </w:divBdr>
            </w:div>
            <w:div w:id="106894276">
              <w:marLeft w:val="0"/>
              <w:marRight w:val="0"/>
              <w:marTop w:val="0"/>
              <w:marBottom w:val="0"/>
              <w:divBdr>
                <w:top w:val="none" w:sz="0" w:space="0" w:color="auto"/>
                <w:left w:val="none" w:sz="0" w:space="0" w:color="auto"/>
                <w:bottom w:val="none" w:sz="0" w:space="0" w:color="auto"/>
                <w:right w:val="none" w:sz="0" w:space="0" w:color="auto"/>
              </w:divBdr>
            </w:div>
            <w:div w:id="1313754215">
              <w:marLeft w:val="0"/>
              <w:marRight w:val="0"/>
              <w:marTop w:val="0"/>
              <w:marBottom w:val="0"/>
              <w:divBdr>
                <w:top w:val="none" w:sz="0" w:space="0" w:color="auto"/>
                <w:left w:val="none" w:sz="0" w:space="0" w:color="auto"/>
                <w:bottom w:val="none" w:sz="0" w:space="0" w:color="auto"/>
                <w:right w:val="none" w:sz="0" w:space="0" w:color="auto"/>
              </w:divBdr>
            </w:div>
            <w:div w:id="63302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688519">
      <w:bodyDiv w:val="1"/>
      <w:marLeft w:val="0"/>
      <w:marRight w:val="0"/>
      <w:marTop w:val="0"/>
      <w:marBottom w:val="0"/>
      <w:divBdr>
        <w:top w:val="none" w:sz="0" w:space="0" w:color="auto"/>
        <w:left w:val="none" w:sz="0" w:space="0" w:color="auto"/>
        <w:bottom w:val="none" w:sz="0" w:space="0" w:color="auto"/>
        <w:right w:val="none" w:sz="0" w:space="0" w:color="auto"/>
      </w:divBdr>
    </w:div>
    <w:div w:id="939022093">
      <w:bodyDiv w:val="1"/>
      <w:marLeft w:val="0"/>
      <w:marRight w:val="0"/>
      <w:marTop w:val="0"/>
      <w:marBottom w:val="0"/>
      <w:divBdr>
        <w:top w:val="none" w:sz="0" w:space="0" w:color="auto"/>
        <w:left w:val="none" w:sz="0" w:space="0" w:color="auto"/>
        <w:bottom w:val="none" w:sz="0" w:space="0" w:color="auto"/>
        <w:right w:val="none" w:sz="0" w:space="0" w:color="auto"/>
      </w:divBdr>
    </w:div>
    <w:div w:id="1123041650">
      <w:bodyDiv w:val="1"/>
      <w:marLeft w:val="0"/>
      <w:marRight w:val="0"/>
      <w:marTop w:val="0"/>
      <w:marBottom w:val="0"/>
      <w:divBdr>
        <w:top w:val="none" w:sz="0" w:space="0" w:color="auto"/>
        <w:left w:val="none" w:sz="0" w:space="0" w:color="auto"/>
        <w:bottom w:val="none" w:sz="0" w:space="0" w:color="auto"/>
        <w:right w:val="none" w:sz="0" w:space="0" w:color="auto"/>
      </w:divBdr>
      <w:divsChild>
        <w:div w:id="649478585">
          <w:marLeft w:val="0"/>
          <w:marRight w:val="0"/>
          <w:marTop w:val="0"/>
          <w:marBottom w:val="0"/>
          <w:divBdr>
            <w:top w:val="none" w:sz="0" w:space="0" w:color="auto"/>
            <w:left w:val="none" w:sz="0" w:space="0" w:color="auto"/>
            <w:bottom w:val="none" w:sz="0" w:space="0" w:color="auto"/>
            <w:right w:val="none" w:sz="0" w:space="0" w:color="auto"/>
          </w:divBdr>
          <w:divsChild>
            <w:div w:id="892470734">
              <w:marLeft w:val="0"/>
              <w:marRight w:val="0"/>
              <w:marTop w:val="0"/>
              <w:marBottom w:val="0"/>
              <w:divBdr>
                <w:top w:val="none" w:sz="0" w:space="0" w:color="auto"/>
                <w:left w:val="none" w:sz="0" w:space="0" w:color="auto"/>
                <w:bottom w:val="none" w:sz="0" w:space="0" w:color="auto"/>
                <w:right w:val="none" w:sz="0" w:space="0" w:color="auto"/>
              </w:divBdr>
              <w:divsChild>
                <w:div w:id="2003266098">
                  <w:marLeft w:val="0"/>
                  <w:marRight w:val="0"/>
                  <w:marTop w:val="0"/>
                  <w:marBottom w:val="0"/>
                  <w:divBdr>
                    <w:top w:val="none" w:sz="0" w:space="0" w:color="auto"/>
                    <w:left w:val="none" w:sz="0" w:space="0" w:color="auto"/>
                    <w:bottom w:val="none" w:sz="0" w:space="0" w:color="auto"/>
                    <w:right w:val="none" w:sz="0" w:space="0" w:color="auto"/>
                  </w:divBdr>
                  <w:divsChild>
                    <w:div w:id="1969123589">
                      <w:marLeft w:val="0"/>
                      <w:marRight w:val="0"/>
                      <w:marTop w:val="120"/>
                      <w:marBottom w:val="0"/>
                      <w:divBdr>
                        <w:top w:val="none" w:sz="0" w:space="0" w:color="auto"/>
                        <w:left w:val="none" w:sz="0" w:space="0" w:color="auto"/>
                        <w:bottom w:val="none" w:sz="0" w:space="0" w:color="auto"/>
                        <w:right w:val="none" w:sz="0" w:space="0" w:color="auto"/>
                      </w:divBdr>
                      <w:divsChild>
                        <w:div w:id="1412003464">
                          <w:marLeft w:val="0"/>
                          <w:marRight w:val="0"/>
                          <w:marTop w:val="0"/>
                          <w:marBottom w:val="0"/>
                          <w:divBdr>
                            <w:top w:val="none" w:sz="0" w:space="0" w:color="auto"/>
                            <w:left w:val="none" w:sz="0" w:space="0" w:color="auto"/>
                            <w:bottom w:val="none" w:sz="0" w:space="0" w:color="auto"/>
                            <w:right w:val="none" w:sz="0" w:space="0" w:color="auto"/>
                          </w:divBdr>
                          <w:divsChild>
                            <w:div w:id="1850678099">
                              <w:marLeft w:val="0"/>
                              <w:marRight w:val="0"/>
                              <w:marTop w:val="30"/>
                              <w:marBottom w:val="0"/>
                              <w:divBdr>
                                <w:top w:val="none" w:sz="0" w:space="0" w:color="auto"/>
                                <w:left w:val="none" w:sz="0" w:space="0" w:color="auto"/>
                                <w:bottom w:val="none" w:sz="0" w:space="0" w:color="auto"/>
                                <w:right w:val="none" w:sz="0" w:space="0" w:color="auto"/>
                              </w:divBdr>
                              <w:divsChild>
                                <w:div w:id="1771776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3702320">
          <w:marLeft w:val="0"/>
          <w:marRight w:val="0"/>
          <w:marTop w:val="0"/>
          <w:marBottom w:val="0"/>
          <w:divBdr>
            <w:top w:val="none" w:sz="0" w:space="0" w:color="auto"/>
            <w:left w:val="none" w:sz="0" w:space="0" w:color="auto"/>
            <w:bottom w:val="none" w:sz="0" w:space="0" w:color="auto"/>
            <w:right w:val="none" w:sz="0" w:space="0" w:color="auto"/>
          </w:divBdr>
          <w:divsChild>
            <w:div w:id="212499536">
              <w:marLeft w:val="0"/>
              <w:marRight w:val="0"/>
              <w:marTop w:val="0"/>
              <w:marBottom w:val="0"/>
              <w:divBdr>
                <w:top w:val="none" w:sz="0" w:space="0" w:color="auto"/>
                <w:left w:val="none" w:sz="0" w:space="0" w:color="auto"/>
                <w:bottom w:val="none" w:sz="0" w:space="0" w:color="auto"/>
                <w:right w:val="none" w:sz="0" w:space="0" w:color="auto"/>
              </w:divBdr>
              <w:divsChild>
                <w:div w:id="1975865990">
                  <w:marLeft w:val="0"/>
                  <w:marRight w:val="0"/>
                  <w:marTop w:val="0"/>
                  <w:marBottom w:val="0"/>
                  <w:divBdr>
                    <w:top w:val="none" w:sz="0" w:space="0" w:color="auto"/>
                    <w:left w:val="none" w:sz="0" w:space="0" w:color="auto"/>
                    <w:bottom w:val="none" w:sz="0" w:space="0" w:color="auto"/>
                    <w:right w:val="none" w:sz="0" w:space="0" w:color="auto"/>
                  </w:divBdr>
                  <w:divsChild>
                    <w:div w:id="626089326">
                      <w:marLeft w:val="0"/>
                      <w:marRight w:val="0"/>
                      <w:marTop w:val="0"/>
                      <w:marBottom w:val="0"/>
                      <w:divBdr>
                        <w:top w:val="none" w:sz="0" w:space="0" w:color="auto"/>
                        <w:left w:val="none" w:sz="0" w:space="0" w:color="auto"/>
                        <w:bottom w:val="none" w:sz="0" w:space="0" w:color="auto"/>
                        <w:right w:val="none" w:sz="0" w:space="0" w:color="auto"/>
                      </w:divBdr>
                      <w:divsChild>
                        <w:div w:id="125396355">
                          <w:marLeft w:val="0"/>
                          <w:marRight w:val="0"/>
                          <w:marTop w:val="0"/>
                          <w:marBottom w:val="0"/>
                          <w:divBdr>
                            <w:top w:val="none" w:sz="0" w:space="0" w:color="auto"/>
                            <w:left w:val="none" w:sz="0" w:space="0" w:color="auto"/>
                            <w:bottom w:val="none" w:sz="0" w:space="0" w:color="auto"/>
                            <w:right w:val="none" w:sz="0" w:space="0" w:color="auto"/>
                          </w:divBdr>
                          <w:divsChild>
                            <w:div w:id="243496064">
                              <w:marLeft w:val="0"/>
                              <w:marRight w:val="0"/>
                              <w:marTop w:val="0"/>
                              <w:marBottom w:val="0"/>
                              <w:divBdr>
                                <w:top w:val="none" w:sz="0" w:space="0" w:color="auto"/>
                                <w:left w:val="none" w:sz="0" w:space="0" w:color="auto"/>
                                <w:bottom w:val="none" w:sz="0" w:space="0" w:color="auto"/>
                                <w:right w:val="none" w:sz="0" w:space="0" w:color="auto"/>
                              </w:divBdr>
                              <w:divsChild>
                                <w:div w:id="647367224">
                                  <w:marLeft w:val="0"/>
                                  <w:marRight w:val="120"/>
                                  <w:marTop w:val="0"/>
                                  <w:marBottom w:val="0"/>
                                  <w:divBdr>
                                    <w:top w:val="none" w:sz="0" w:space="0" w:color="auto"/>
                                    <w:left w:val="none" w:sz="0" w:space="0" w:color="auto"/>
                                    <w:bottom w:val="none" w:sz="0" w:space="0" w:color="auto"/>
                                    <w:right w:val="none" w:sz="0" w:space="0" w:color="auto"/>
                                  </w:divBdr>
                                  <w:divsChild>
                                    <w:div w:id="1881241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5636966">
      <w:bodyDiv w:val="1"/>
      <w:marLeft w:val="0"/>
      <w:marRight w:val="0"/>
      <w:marTop w:val="0"/>
      <w:marBottom w:val="0"/>
      <w:divBdr>
        <w:top w:val="none" w:sz="0" w:space="0" w:color="auto"/>
        <w:left w:val="none" w:sz="0" w:space="0" w:color="auto"/>
        <w:bottom w:val="none" w:sz="0" w:space="0" w:color="auto"/>
        <w:right w:val="none" w:sz="0" w:space="0" w:color="auto"/>
      </w:divBdr>
      <w:divsChild>
        <w:div w:id="2012220755">
          <w:marLeft w:val="0"/>
          <w:marRight w:val="0"/>
          <w:marTop w:val="30"/>
          <w:marBottom w:val="0"/>
          <w:divBdr>
            <w:top w:val="none" w:sz="0" w:space="0" w:color="auto"/>
            <w:left w:val="none" w:sz="0" w:space="0" w:color="auto"/>
            <w:bottom w:val="none" w:sz="0" w:space="0" w:color="auto"/>
            <w:right w:val="none" w:sz="0" w:space="0" w:color="auto"/>
          </w:divBdr>
          <w:divsChild>
            <w:div w:id="1450468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34233">
      <w:bodyDiv w:val="1"/>
      <w:marLeft w:val="0"/>
      <w:marRight w:val="0"/>
      <w:marTop w:val="0"/>
      <w:marBottom w:val="0"/>
      <w:divBdr>
        <w:top w:val="none" w:sz="0" w:space="0" w:color="auto"/>
        <w:left w:val="none" w:sz="0" w:space="0" w:color="auto"/>
        <w:bottom w:val="none" w:sz="0" w:space="0" w:color="auto"/>
        <w:right w:val="none" w:sz="0" w:space="0" w:color="auto"/>
      </w:divBdr>
    </w:div>
    <w:div w:id="1259482976">
      <w:bodyDiv w:val="1"/>
      <w:marLeft w:val="0"/>
      <w:marRight w:val="0"/>
      <w:marTop w:val="0"/>
      <w:marBottom w:val="0"/>
      <w:divBdr>
        <w:top w:val="none" w:sz="0" w:space="0" w:color="auto"/>
        <w:left w:val="none" w:sz="0" w:space="0" w:color="auto"/>
        <w:bottom w:val="none" w:sz="0" w:space="0" w:color="auto"/>
        <w:right w:val="none" w:sz="0" w:space="0" w:color="auto"/>
      </w:divBdr>
    </w:div>
    <w:div w:id="1265727165">
      <w:bodyDiv w:val="1"/>
      <w:marLeft w:val="0"/>
      <w:marRight w:val="0"/>
      <w:marTop w:val="0"/>
      <w:marBottom w:val="0"/>
      <w:divBdr>
        <w:top w:val="none" w:sz="0" w:space="0" w:color="auto"/>
        <w:left w:val="none" w:sz="0" w:space="0" w:color="auto"/>
        <w:bottom w:val="none" w:sz="0" w:space="0" w:color="auto"/>
        <w:right w:val="none" w:sz="0" w:space="0" w:color="auto"/>
      </w:divBdr>
    </w:div>
    <w:div w:id="1318264559">
      <w:bodyDiv w:val="1"/>
      <w:marLeft w:val="0"/>
      <w:marRight w:val="0"/>
      <w:marTop w:val="0"/>
      <w:marBottom w:val="0"/>
      <w:divBdr>
        <w:top w:val="none" w:sz="0" w:space="0" w:color="auto"/>
        <w:left w:val="none" w:sz="0" w:space="0" w:color="auto"/>
        <w:bottom w:val="none" w:sz="0" w:space="0" w:color="auto"/>
        <w:right w:val="none" w:sz="0" w:space="0" w:color="auto"/>
      </w:divBdr>
      <w:divsChild>
        <w:div w:id="1637024190">
          <w:marLeft w:val="0"/>
          <w:marRight w:val="0"/>
          <w:marTop w:val="0"/>
          <w:marBottom w:val="0"/>
          <w:divBdr>
            <w:top w:val="none" w:sz="0" w:space="0" w:color="auto"/>
            <w:left w:val="none" w:sz="0" w:space="0" w:color="auto"/>
            <w:bottom w:val="none" w:sz="0" w:space="0" w:color="auto"/>
            <w:right w:val="none" w:sz="0" w:space="0" w:color="auto"/>
          </w:divBdr>
          <w:divsChild>
            <w:div w:id="2007052928">
              <w:marLeft w:val="0"/>
              <w:marRight w:val="0"/>
              <w:marTop w:val="0"/>
              <w:marBottom w:val="0"/>
              <w:divBdr>
                <w:top w:val="none" w:sz="0" w:space="0" w:color="auto"/>
                <w:left w:val="none" w:sz="0" w:space="0" w:color="auto"/>
                <w:bottom w:val="none" w:sz="0" w:space="0" w:color="auto"/>
                <w:right w:val="none" w:sz="0" w:space="0" w:color="auto"/>
              </w:divBdr>
              <w:divsChild>
                <w:div w:id="643967095">
                  <w:marLeft w:val="0"/>
                  <w:marRight w:val="0"/>
                  <w:marTop w:val="120"/>
                  <w:marBottom w:val="0"/>
                  <w:divBdr>
                    <w:top w:val="none" w:sz="0" w:space="0" w:color="auto"/>
                    <w:left w:val="none" w:sz="0" w:space="0" w:color="auto"/>
                    <w:bottom w:val="none" w:sz="0" w:space="0" w:color="auto"/>
                    <w:right w:val="none" w:sz="0" w:space="0" w:color="auto"/>
                  </w:divBdr>
                  <w:divsChild>
                    <w:div w:id="1173227134">
                      <w:marLeft w:val="0"/>
                      <w:marRight w:val="0"/>
                      <w:marTop w:val="0"/>
                      <w:marBottom w:val="0"/>
                      <w:divBdr>
                        <w:top w:val="none" w:sz="0" w:space="0" w:color="auto"/>
                        <w:left w:val="none" w:sz="0" w:space="0" w:color="auto"/>
                        <w:bottom w:val="none" w:sz="0" w:space="0" w:color="auto"/>
                        <w:right w:val="none" w:sz="0" w:space="0" w:color="auto"/>
                      </w:divBdr>
                      <w:divsChild>
                        <w:div w:id="1675917245">
                          <w:marLeft w:val="0"/>
                          <w:marRight w:val="0"/>
                          <w:marTop w:val="30"/>
                          <w:marBottom w:val="0"/>
                          <w:divBdr>
                            <w:top w:val="none" w:sz="0" w:space="0" w:color="auto"/>
                            <w:left w:val="none" w:sz="0" w:space="0" w:color="auto"/>
                            <w:bottom w:val="none" w:sz="0" w:space="0" w:color="auto"/>
                            <w:right w:val="none" w:sz="0" w:space="0" w:color="auto"/>
                          </w:divBdr>
                          <w:divsChild>
                            <w:div w:id="34605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5662327">
      <w:bodyDiv w:val="1"/>
      <w:marLeft w:val="0"/>
      <w:marRight w:val="0"/>
      <w:marTop w:val="0"/>
      <w:marBottom w:val="0"/>
      <w:divBdr>
        <w:top w:val="none" w:sz="0" w:space="0" w:color="auto"/>
        <w:left w:val="none" w:sz="0" w:space="0" w:color="auto"/>
        <w:bottom w:val="none" w:sz="0" w:space="0" w:color="auto"/>
        <w:right w:val="none" w:sz="0" w:space="0" w:color="auto"/>
      </w:divBdr>
      <w:divsChild>
        <w:div w:id="159320196">
          <w:marLeft w:val="0"/>
          <w:marRight w:val="0"/>
          <w:marTop w:val="0"/>
          <w:marBottom w:val="0"/>
          <w:divBdr>
            <w:top w:val="none" w:sz="0" w:space="0" w:color="auto"/>
            <w:left w:val="none" w:sz="0" w:space="0" w:color="auto"/>
            <w:bottom w:val="none" w:sz="0" w:space="0" w:color="auto"/>
            <w:right w:val="none" w:sz="0" w:space="0" w:color="auto"/>
          </w:divBdr>
          <w:divsChild>
            <w:div w:id="1574466084">
              <w:marLeft w:val="0"/>
              <w:marRight w:val="0"/>
              <w:marTop w:val="0"/>
              <w:marBottom w:val="0"/>
              <w:divBdr>
                <w:top w:val="none" w:sz="0" w:space="0" w:color="auto"/>
                <w:left w:val="none" w:sz="0" w:space="0" w:color="auto"/>
                <w:bottom w:val="none" w:sz="0" w:space="0" w:color="auto"/>
                <w:right w:val="none" w:sz="0" w:space="0" w:color="auto"/>
              </w:divBdr>
              <w:divsChild>
                <w:div w:id="385832995">
                  <w:marLeft w:val="0"/>
                  <w:marRight w:val="0"/>
                  <w:marTop w:val="0"/>
                  <w:marBottom w:val="0"/>
                  <w:divBdr>
                    <w:top w:val="none" w:sz="0" w:space="0" w:color="auto"/>
                    <w:left w:val="none" w:sz="0" w:space="0" w:color="auto"/>
                    <w:bottom w:val="none" w:sz="0" w:space="0" w:color="auto"/>
                    <w:right w:val="none" w:sz="0" w:space="0" w:color="auto"/>
                  </w:divBdr>
                  <w:divsChild>
                    <w:div w:id="41298030">
                      <w:marLeft w:val="0"/>
                      <w:marRight w:val="0"/>
                      <w:marTop w:val="120"/>
                      <w:marBottom w:val="0"/>
                      <w:divBdr>
                        <w:top w:val="none" w:sz="0" w:space="0" w:color="auto"/>
                        <w:left w:val="none" w:sz="0" w:space="0" w:color="auto"/>
                        <w:bottom w:val="none" w:sz="0" w:space="0" w:color="auto"/>
                        <w:right w:val="none" w:sz="0" w:space="0" w:color="auto"/>
                      </w:divBdr>
                      <w:divsChild>
                        <w:div w:id="2053387054">
                          <w:marLeft w:val="0"/>
                          <w:marRight w:val="0"/>
                          <w:marTop w:val="0"/>
                          <w:marBottom w:val="0"/>
                          <w:divBdr>
                            <w:top w:val="none" w:sz="0" w:space="0" w:color="auto"/>
                            <w:left w:val="none" w:sz="0" w:space="0" w:color="auto"/>
                            <w:bottom w:val="none" w:sz="0" w:space="0" w:color="auto"/>
                            <w:right w:val="none" w:sz="0" w:space="0" w:color="auto"/>
                          </w:divBdr>
                          <w:divsChild>
                            <w:div w:id="1819103938">
                              <w:marLeft w:val="0"/>
                              <w:marRight w:val="0"/>
                              <w:marTop w:val="0"/>
                              <w:marBottom w:val="0"/>
                              <w:divBdr>
                                <w:top w:val="none" w:sz="0" w:space="0" w:color="auto"/>
                                <w:left w:val="none" w:sz="0" w:space="0" w:color="auto"/>
                                <w:bottom w:val="none" w:sz="0" w:space="0" w:color="auto"/>
                                <w:right w:val="none" w:sz="0" w:space="0" w:color="auto"/>
                              </w:divBdr>
                              <w:divsChild>
                                <w:div w:id="439493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9735621">
          <w:marLeft w:val="0"/>
          <w:marRight w:val="0"/>
          <w:marTop w:val="0"/>
          <w:marBottom w:val="0"/>
          <w:divBdr>
            <w:top w:val="none" w:sz="0" w:space="0" w:color="auto"/>
            <w:left w:val="none" w:sz="0" w:space="0" w:color="auto"/>
            <w:bottom w:val="none" w:sz="0" w:space="0" w:color="auto"/>
            <w:right w:val="none" w:sz="0" w:space="0" w:color="auto"/>
          </w:divBdr>
          <w:divsChild>
            <w:div w:id="1083145783">
              <w:marLeft w:val="0"/>
              <w:marRight w:val="0"/>
              <w:marTop w:val="0"/>
              <w:marBottom w:val="0"/>
              <w:divBdr>
                <w:top w:val="none" w:sz="0" w:space="0" w:color="auto"/>
                <w:left w:val="none" w:sz="0" w:space="0" w:color="auto"/>
                <w:bottom w:val="none" w:sz="0" w:space="0" w:color="auto"/>
                <w:right w:val="none" w:sz="0" w:space="0" w:color="auto"/>
              </w:divBdr>
              <w:divsChild>
                <w:div w:id="675115094">
                  <w:marLeft w:val="0"/>
                  <w:marRight w:val="0"/>
                  <w:marTop w:val="0"/>
                  <w:marBottom w:val="0"/>
                  <w:divBdr>
                    <w:top w:val="none" w:sz="0" w:space="0" w:color="auto"/>
                    <w:left w:val="none" w:sz="0" w:space="0" w:color="auto"/>
                    <w:bottom w:val="none" w:sz="0" w:space="0" w:color="auto"/>
                    <w:right w:val="none" w:sz="0" w:space="0" w:color="auto"/>
                  </w:divBdr>
                  <w:divsChild>
                    <w:div w:id="1771852937">
                      <w:marLeft w:val="0"/>
                      <w:marRight w:val="0"/>
                      <w:marTop w:val="0"/>
                      <w:marBottom w:val="0"/>
                      <w:divBdr>
                        <w:top w:val="none" w:sz="0" w:space="0" w:color="auto"/>
                        <w:left w:val="none" w:sz="0" w:space="0" w:color="auto"/>
                        <w:bottom w:val="none" w:sz="0" w:space="0" w:color="auto"/>
                        <w:right w:val="none" w:sz="0" w:space="0" w:color="auto"/>
                      </w:divBdr>
                      <w:divsChild>
                        <w:div w:id="1075935225">
                          <w:marLeft w:val="0"/>
                          <w:marRight w:val="0"/>
                          <w:marTop w:val="0"/>
                          <w:marBottom w:val="0"/>
                          <w:divBdr>
                            <w:top w:val="none" w:sz="0" w:space="0" w:color="auto"/>
                            <w:left w:val="none" w:sz="0" w:space="0" w:color="auto"/>
                            <w:bottom w:val="none" w:sz="0" w:space="0" w:color="auto"/>
                            <w:right w:val="none" w:sz="0" w:space="0" w:color="auto"/>
                          </w:divBdr>
                          <w:divsChild>
                            <w:div w:id="952204975">
                              <w:marLeft w:val="0"/>
                              <w:marRight w:val="0"/>
                              <w:marTop w:val="0"/>
                              <w:marBottom w:val="0"/>
                              <w:divBdr>
                                <w:top w:val="none" w:sz="0" w:space="0" w:color="auto"/>
                                <w:left w:val="none" w:sz="0" w:space="0" w:color="auto"/>
                                <w:bottom w:val="none" w:sz="0" w:space="0" w:color="auto"/>
                                <w:right w:val="none" w:sz="0" w:space="0" w:color="auto"/>
                              </w:divBdr>
                              <w:divsChild>
                                <w:div w:id="1220285439">
                                  <w:marLeft w:val="0"/>
                                  <w:marRight w:val="120"/>
                                  <w:marTop w:val="0"/>
                                  <w:marBottom w:val="0"/>
                                  <w:divBdr>
                                    <w:top w:val="none" w:sz="0" w:space="0" w:color="auto"/>
                                    <w:left w:val="none" w:sz="0" w:space="0" w:color="auto"/>
                                    <w:bottom w:val="none" w:sz="0" w:space="0" w:color="auto"/>
                                    <w:right w:val="none" w:sz="0" w:space="0" w:color="auto"/>
                                  </w:divBdr>
                                  <w:divsChild>
                                    <w:div w:id="802113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6554941">
      <w:bodyDiv w:val="1"/>
      <w:marLeft w:val="0"/>
      <w:marRight w:val="0"/>
      <w:marTop w:val="0"/>
      <w:marBottom w:val="0"/>
      <w:divBdr>
        <w:top w:val="none" w:sz="0" w:space="0" w:color="auto"/>
        <w:left w:val="none" w:sz="0" w:space="0" w:color="auto"/>
        <w:bottom w:val="none" w:sz="0" w:space="0" w:color="auto"/>
        <w:right w:val="none" w:sz="0" w:space="0" w:color="auto"/>
      </w:divBdr>
      <w:divsChild>
        <w:div w:id="2031448205">
          <w:marLeft w:val="0"/>
          <w:marRight w:val="0"/>
          <w:marTop w:val="0"/>
          <w:marBottom w:val="0"/>
          <w:divBdr>
            <w:top w:val="none" w:sz="0" w:space="0" w:color="auto"/>
            <w:left w:val="none" w:sz="0" w:space="0" w:color="auto"/>
            <w:bottom w:val="none" w:sz="0" w:space="0" w:color="auto"/>
            <w:right w:val="none" w:sz="0" w:space="0" w:color="auto"/>
          </w:divBdr>
        </w:div>
        <w:div w:id="40834243">
          <w:marLeft w:val="0"/>
          <w:marRight w:val="0"/>
          <w:marTop w:val="0"/>
          <w:marBottom w:val="0"/>
          <w:divBdr>
            <w:top w:val="none" w:sz="0" w:space="0" w:color="auto"/>
            <w:left w:val="none" w:sz="0" w:space="0" w:color="auto"/>
            <w:bottom w:val="none" w:sz="0" w:space="0" w:color="auto"/>
            <w:right w:val="none" w:sz="0" w:space="0" w:color="auto"/>
          </w:divBdr>
        </w:div>
      </w:divsChild>
    </w:div>
    <w:div w:id="1488789124">
      <w:bodyDiv w:val="1"/>
      <w:marLeft w:val="0"/>
      <w:marRight w:val="0"/>
      <w:marTop w:val="0"/>
      <w:marBottom w:val="0"/>
      <w:divBdr>
        <w:top w:val="none" w:sz="0" w:space="0" w:color="auto"/>
        <w:left w:val="none" w:sz="0" w:space="0" w:color="auto"/>
        <w:bottom w:val="none" w:sz="0" w:space="0" w:color="auto"/>
        <w:right w:val="none" w:sz="0" w:space="0" w:color="auto"/>
      </w:divBdr>
      <w:divsChild>
        <w:div w:id="1994092157">
          <w:marLeft w:val="0"/>
          <w:marRight w:val="0"/>
          <w:marTop w:val="0"/>
          <w:marBottom w:val="0"/>
          <w:divBdr>
            <w:top w:val="none" w:sz="0" w:space="0" w:color="auto"/>
            <w:left w:val="none" w:sz="0" w:space="0" w:color="auto"/>
            <w:bottom w:val="none" w:sz="0" w:space="0" w:color="auto"/>
            <w:right w:val="none" w:sz="0" w:space="0" w:color="auto"/>
          </w:divBdr>
        </w:div>
        <w:div w:id="1297368249">
          <w:marLeft w:val="0"/>
          <w:marRight w:val="0"/>
          <w:marTop w:val="0"/>
          <w:marBottom w:val="0"/>
          <w:divBdr>
            <w:top w:val="none" w:sz="0" w:space="0" w:color="auto"/>
            <w:left w:val="none" w:sz="0" w:space="0" w:color="auto"/>
            <w:bottom w:val="none" w:sz="0" w:space="0" w:color="auto"/>
            <w:right w:val="none" w:sz="0" w:space="0" w:color="auto"/>
          </w:divBdr>
        </w:div>
        <w:div w:id="2134982379">
          <w:marLeft w:val="0"/>
          <w:marRight w:val="0"/>
          <w:marTop w:val="0"/>
          <w:marBottom w:val="0"/>
          <w:divBdr>
            <w:top w:val="none" w:sz="0" w:space="0" w:color="auto"/>
            <w:left w:val="none" w:sz="0" w:space="0" w:color="auto"/>
            <w:bottom w:val="none" w:sz="0" w:space="0" w:color="auto"/>
            <w:right w:val="none" w:sz="0" w:space="0" w:color="auto"/>
          </w:divBdr>
        </w:div>
        <w:div w:id="1246115197">
          <w:marLeft w:val="0"/>
          <w:marRight w:val="0"/>
          <w:marTop w:val="0"/>
          <w:marBottom w:val="0"/>
          <w:divBdr>
            <w:top w:val="none" w:sz="0" w:space="0" w:color="auto"/>
            <w:left w:val="none" w:sz="0" w:space="0" w:color="auto"/>
            <w:bottom w:val="none" w:sz="0" w:space="0" w:color="auto"/>
            <w:right w:val="none" w:sz="0" w:space="0" w:color="auto"/>
          </w:divBdr>
        </w:div>
        <w:div w:id="241112158">
          <w:marLeft w:val="0"/>
          <w:marRight w:val="0"/>
          <w:marTop w:val="0"/>
          <w:marBottom w:val="0"/>
          <w:divBdr>
            <w:top w:val="none" w:sz="0" w:space="0" w:color="auto"/>
            <w:left w:val="none" w:sz="0" w:space="0" w:color="auto"/>
            <w:bottom w:val="none" w:sz="0" w:space="0" w:color="auto"/>
            <w:right w:val="none" w:sz="0" w:space="0" w:color="auto"/>
          </w:divBdr>
        </w:div>
      </w:divsChild>
    </w:div>
    <w:div w:id="1488789180">
      <w:bodyDiv w:val="1"/>
      <w:marLeft w:val="0"/>
      <w:marRight w:val="0"/>
      <w:marTop w:val="0"/>
      <w:marBottom w:val="0"/>
      <w:divBdr>
        <w:top w:val="none" w:sz="0" w:space="0" w:color="auto"/>
        <w:left w:val="none" w:sz="0" w:space="0" w:color="auto"/>
        <w:bottom w:val="none" w:sz="0" w:space="0" w:color="auto"/>
        <w:right w:val="none" w:sz="0" w:space="0" w:color="auto"/>
      </w:divBdr>
      <w:divsChild>
        <w:div w:id="608129227">
          <w:marLeft w:val="0"/>
          <w:marRight w:val="0"/>
          <w:marTop w:val="0"/>
          <w:marBottom w:val="0"/>
          <w:divBdr>
            <w:top w:val="none" w:sz="0" w:space="0" w:color="auto"/>
            <w:left w:val="none" w:sz="0" w:space="0" w:color="auto"/>
            <w:bottom w:val="none" w:sz="0" w:space="0" w:color="auto"/>
            <w:right w:val="none" w:sz="0" w:space="0" w:color="auto"/>
          </w:divBdr>
        </w:div>
        <w:div w:id="272827418">
          <w:marLeft w:val="0"/>
          <w:marRight w:val="0"/>
          <w:marTop w:val="0"/>
          <w:marBottom w:val="0"/>
          <w:divBdr>
            <w:top w:val="none" w:sz="0" w:space="0" w:color="auto"/>
            <w:left w:val="none" w:sz="0" w:space="0" w:color="auto"/>
            <w:bottom w:val="none" w:sz="0" w:space="0" w:color="auto"/>
            <w:right w:val="none" w:sz="0" w:space="0" w:color="auto"/>
          </w:divBdr>
        </w:div>
        <w:div w:id="1739594091">
          <w:marLeft w:val="0"/>
          <w:marRight w:val="0"/>
          <w:marTop w:val="0"/>
          <w:marBottom w:val="0"/>
          <w:divBdr>
            <w:top w:val="none" w:sz="0" w:space="0" w:color="auto"/>
            <w:left w:val="none" w:sz="0" w:space="0" w:color="auto"/>
            <w:bottom w:val="none" w:sz="0" w:space="0" w:color="auto"/>
            <w:right w:val="none" w:sz="0" w:space="0" w:color="auto"/>
          </w:divBdr>
        </w:div>
        <w:div w:id="770049206">
          <w:marLeft w:val="0"/>
          <w:marRight w:val="0"/>
          <w:marTop w:val="0"/>
          <w:marBottom w:val="0"/>
          <w:divBdr>
            <w:top w:val="none" w:sz="0" w:space="0" w:color="auto"/>
            <w:left w:val="none" w:sz="0" w:space="0" w:color="auto"/>
            <w:bottom w:val="none" w:sz="0" w:space="0" w:color="auto"/>
            <w:right w:val="none" w:sz="0" w:space="0" w:color="auto"/>
          </w:divBdr>
        </w:div>
        <w:div w:id="1343321442">
          <w:marLeft w:val="0"/>
          <w:marRight w:val="0"/>
          <w:marTop w:val="0"/>
          <w:marBottom w:val="0"/>
          <w:divBdr>
            <w:top w:val="none" w:sz="0" w:space="0" w:color="auto"/>
            <w:left w:val="none" w:sz="0" w:space="0" w:color="auto"/>
            <w:bottom w:val="none" w:sz="0" w:space="0" w:color="auto"/>
            <w:right w:val="none" w:sz="0" w:space="0" w:color="auto"/>
          </w:divBdr>
        </w:div>
      </w:divsChild>
    </w:div>
    <w:div w:id="1529179439">
      <w:bodyDiv w:val="1"/>
      <w:marLeft w:val="0"/>
      <w:marRight w:val="0"/>
      <w:marTop w:val="0"/>
      <w:marBottom w:val="0"/>
      <w:divBdr>
        <w:top w:val="none" w:sz="0" w:space="0" w:color="auto"/>
        <w:left w:val="none" w:sz="0" w:space="0" w:color="auto"/>
        <w:bottom w:val="none" w:sz="0" w:space="0" w:color="auto"/>
        <w:right w:val="none" w:sz="0" w:space="0" w:color="auto"/>
      </w:divBdr>
    </w:div>
    <w:div w:id="1555462220">
      <w:bodyDiv w:val="1"/>
      <w:marLeft w:val="0"/>
      <w:marRight w:val="0"/>
      <w:marTop w:val="0"/>
      <w:marBottom w:val="0"/>
      <w:divBdr>
        <w:top w:val="none" w:sz="0" w:space="0" w:color="auto"/>
        <w:left w:val="none" w:sz="0" w:space="0" w:color="auto"/>
        <w:bottom w:val="none" w:sz="0" w:space="0" w:color="auto"/>
        <w:right w:val="none" w:sz="0" w:space="0" w:color="auto"/>
      </w:divBdr>
    </w:div>
    <w:div w:id="1632513882">
      <w:bodyDiv w:val="1"/>
      <w:marLeft w:val="0"/>
      <w:marRight w:val="0"/>
      <w:marTop w:val="0"/>
      <w:marBottom w:val="0"/>
      <w:divBdr>
        <w:top w:val="none" w:sz="0" w:space="0" w:color="auto"/>
        <w:left w:val="none" w:sz="0" w:space="0" w:color="auto"/>
        <w:bottom w:val="none" w:sz="0" w:space="0" w:color="auto"/>
        <w:right w:val="none" w:sz="0" w:space="0" w:color="auto"/>
      </w:divBdr>
      <w:divsChild>
        <w:div w:id="1819150937">
          <w:marLeft w:val="0"/>
          <w:marRight w:val="0"/>
          <w:marTop w:val="0"/>
          <w:marBottom w:val="0"/>
          <w:divBdr>
            <w:top w:val="none" w:sz="0" w:space="0" w:color="auto"/>
            <w:left w:val="none" w:sz="0" w:space="0" w:color="auto"/>
            <w:bottom w:val="none" w:sz="0" w:space="0" w:color="auto"/>
            <w:right w:val="none" w:sz="0" w:space="0" w:color="auto"/>
          </w:divBdr>
          <w:divsChild>
            <w:div w:id="483397092">
              <w:marLeft w:val="0"/>
              <w:marRight w:val="0"/>
              <w:marTop w:val="0"/>
              <w:marBottom w:val="0"/>
              <w:divBdr>
                <w:top w:val="none" w:sz="0" w:space="0" w:color="auto"/>
                <w:left w:val="none" w:sz="0" w:space="0" w:color="auto"/>
                <w:bottom w:val="none" w:sz="0" w:space="0" w:color="auto"/>
                <w:right w:val="none" w:sz="0" w:space="0" w:color="auto"/>
              </w:divBdr>
              <w:divsChild>
                <w:div w:id="954216165">
                  <w:marLeft w:val="0"/>
                  <w:marRight w:val="0"/>
                  <w:marTop w:val="0"/>
                  <w:marBottom w:val="0"/>
                  <w:divBdr>
                    <w:top w:val="none" w:sz="0" w:space="0" w:color="auto"/>
                    <w:left w:val="none" w:sz="0" w:space="0" w:color="auto"/>
                    <w:bottom w:val="none" w:sz="0" w:space="0" w:color="auto"/>
                    <w:right w:val="none" w:sz="0" w:space="0" w:color="auto"/>
                  </w:divBdr>
                  <w:divsChild>
                    <w:div w:id="830289905">
                      <w:marLeft w:val="0"/>
                      <w:marRight w:val="0"/>
                      <w:marTop w:val="120"/>
                      <w:marBottom w:val="0"/>
                      <w:divBdr>
                        <w:top w:val="none" w:sz="0" w:space="0" w:color="auto"/>
                        <w:left w:val="none" w:sz="0" w:space="0" w:color="auto"/>
                        <w:bottom w:val="none" w:sz="0" w:space="0" w:color="auto"/>
                        <w:right w:val="none" w:sz="0" w:space="0" w:color="auto"/>
                      </w:divBdr>
                      <w:divsChild>
                        <w:div w:id="1933853095">
                          <w:marLeft w:val="0"/>
                          <w:marRight w:val="0"/>
                          <w:marTop w:val="0"/>
                          <w:marBottom w:val="0"/>
                          <w:divBdr>
                            <w:top w:val="none" w:sz="0" w:space="0" w:color="auto"/>
                            <w:left w:val="none" w:sz="0" w:space="0" w:color="auto"/>
                            <w:bottom w:val="none" w:sz="0" w:space="0" w:color="auto"/>
                            <w:right w:val="none" w:sz="0" w:space="0" w:color="auto"/>
                          </w:divBdr>
                          <w:divsChild>
                            <w:div w:id="274597611">
                              <w:marLeft w:val="0"/>
                              <w:marRight w:val="0"/>
                              <w:marTop w:val="0"/>
                              <w:marBottom w:val="0"/>
                              <w:divBdr>
                                <w:top w:val="none" w:sz="0" w:space="0" w:color="auto"/>
                                <w:left w:val="none" w:sz="0" w:space="0" w:color="auto"/>
                                <w:bottom w:val="none" w:sz="0" w:space="0" w:color="auto"/>
                                <w:right w:val="none" w:sz="0" w:space="0" w:color="auto"/>
                              </w:divBdr>
                              <w:divsChild>
                                <w:div w:id="866530261">
                                  <w:marLeft w:val="0"/>
                                  <w:marRight w:val="0"/>
                                  <w:marTop w:val="0"/>
                                  <w:marBottom w:val="0"/>
                                  <w:divBdr>
                                    <w:top w:val="none" w:sz="0" w:space="0" w:color="auto"/>
                                    <w:left w:val="none" w:sz="0" w:space="0" w:color="auto"/>
                                    <w:bottom w:val="none" w:sz="0" w:space="0" w:color="auto"/>
                                    <w:right w:val="none" w:sz="0" w:space="0" w:color="auto"/>
                                  </w:divBdr>
                                  <w:divsChild>
                                    <w:div w:id="1991060326">
                                      <w:marLeft w:val="0"/>
                                      <w:marRight w:val="0"/>
                                      <w:marTop w:val="0"/>
                                      <w:marBottom w:val="0"/>
                                      <w:divBdr>
                                        <w:top w:val="none" w:sz="0" w:space="0" w:color="auto"/>
                                        <w:left w:val="none" w:sz="0" w:space="0" w:color="auto"/>
                                        <w:bottom w:val="none" w:sz="0" w:space="0" w:color="auto"/>
                                        <w:right w:val="none" w:sz="0" w:space="0" w:color="auto"/>
                                      </w:divBdr>
                                    </w:div>
                                    <w:div w:id="198666736">
                                      <w:marLeft w:val="0"/>
                                      <w:marRight w:val="0"/>
                                      <w:marTop w:val="30"/>
                                      <w:marBottom w:val="0"/>
                                      <w:divBdr>
                                        <w:top w:val="none" w:sz="0" w:space="0" w:color="auto"/>
                                        <w:left w:val="none" w:sz="0" w:space="0" w:color="auto"/>
                                        <w:bottom w:val="none" w:sz="0" w:space="0" w:color="auto"/>
                                        <w:right w:val="none" w:sz="0" w:space="0" w:color="auto"/>
                                      </w:divBdr>
                                      <w:divsChild>
                                        <w:div w:id="243884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093163">
      <w:bodyDiv w:val="1"/>
      <w:marLeft w:val="0"/>
      <w:marRight w:val="0"/>
      <w:marTop w:val="0"/>
      <w:marBottom w:val="0"/>
      <w:divBdr>
        <w:top w:val="none" w:sz="0" w:space="0" w:color="auto"/>
        <w:left w:val="none" w:sz="0" w:space="0" w:color="auto"/>
        <w:bottom w:val="none" w:sz="0" w:space="0" w:color="auto"/>
        <w:right w:val="none" w:sz="0" w:space="0" w:color="auto"/>
      </w:divBdr>
      <w:divsChild>
        <w:div w:id="1708405117">
          <w:marLeft w:val="0"/>
          <w:marRight w:val="0"/>
          <w:marTop w:val="0"/>
          <w:marBottom w:val="0"/>
          <w:divBdr>
            <w:top w:val="none" w:sz="0" w:space="0" w:color="auto"/>
            <w:left w:val="none" w:sz="0" w:space="0" w:color="auto"/>
            <w:bottom w:val="none" w:sz="0" w:space="0" w:color="auto"/>
            <w:right w:val="none" w:sz="0" w:space="0" w:color="auto"/>
          </w:divBdr>
        </w:div>
        <w:div w:id="601230696">
          <w:marLeft w:val="0"/>
          <w:marRight w:val="0"/>
          <w:marTop w:val="0"/>
          <w:marBottom w:val="0"/>
          <w:divBdr>
            <w:top w:val="none" w:sz="0" w:space="0" w:color="auto"/>
            <w:left w:val="none" w:sz="0" w:space="0" w:color="auto"/>
            <w:bottom w:val="none" w:sz="0" w:space="0" w:color="auto"/>
            <w:right w:val="none" w:sz="0" w:space="0" w:color="auto"/>
          </w:divBdr>
        </w:div>
        <w:div w:id="1724064762">
          <w:marLeft w:val="0"/>
          <w:marRight w:val="0"/>
          <w:marTop w:val="0"/>
          <w:marBottom w:val="0"/>
          <w:divBdr>
            <w:top w:val="none" w:sz="0" w:space="0" w:color="auto"/>
            <w:left w:val="none" w:sz="0" w:space="0" w:color="auto"/>
            <w:bottom w:val="none" w:sz="0" w:space="0" w:color="auto"/>
            <w:right w:val="none" w:sz="0" w:space="0" w:color="auto"/>
          </w:divBdr>
        </w:div>
        <w:div w:id="1156189249">
          <w:marLeft w:val="0"/>
          <w:marRight w:val="0"/>
          <w:marTop w:val="0"/>
          <w:marBottom w:val="0"/>
          <w:divBdr>
            <w:top w:val="none" w:sz="0" w:space="0" w:color="auto"/>
            <w:left w:val="none" w:sz="0" w:space="0" w:color="auto"/>
            <w:bottom w:val="none" w:sz="0" w:space="0" w:color="auto"/>
            <w:right w:val="none" w:sz="0" w:space="0" w:color="auto"/>
          </w:divBdr>
        </w:div>
        <w:div w:id="518474820">
          <w:marLeft w:val="0"/>
          <w:marRight w:val="0"/>
          <w:marTop w:val="0"/>
          <w:marBottom w:val="0"/>
          <w:divBdr>
            <w:top w:val="none" w:sz="0" w:space="0" w:color="auto"/>
            <w:left w:val="none" w:sz="0" w:space="0" w:color="auto"/>
            <w:bottom w:val="none" w:sz="0" w:space="0" w:color="auto"/>
            <w:right w:val="none" w:sz="0" w:space="0" w:color="auto"/>
          </w:divBdr>
        </w:div>
      </w:divsChild>
    </w:div>
    <w:div w:id="1888831883">
      <w:bodyDiv w:val="1"/>
      <w:marLeft w:val="0"/>
      <w:marRight w:val="0"/>
      <w:marTop w:val="0"/>
      <w:marBottom w:val="0"/>
      <w:divBdr>
        <w:top w:val="none" w:sz="0" w:space="0" w:color="auto"/>
        <w:left w:val="none" w:sz="0" w:space="0" w:color="auto"/>
        <w:bottom w:val="none" w:sz="0" w:space="0" w:color="auto"/>
        <w:right w:val="none" w:sz="0" w:space="0" w:color="auto"/>
      </w:divBdr>
      <w:divsChild>
        <w:div w:id="624193802">
          <w:marLeft w:val="0"/>
          <w:marRight w:val="0"/>
          <w:marTop w:val="0"/>
          <w:marBottom w:val="0"/>
          <w:divBdr>
            <w:top w:val="none" w:sz="0" w:space="0" w:color="auto"/>
            <w:left w:val="none" w:sz="0" w:space="0" w:color="auto"/>
            <w:bottom w:val="none" w:sz="0" w:space="0" w:color="auto"/>
            <w:right w:val="none" w:sz="0" w:space="0" w:color="auto"/>
          </w:divBdr>
          <w:divsChild>
            <w:div w:id="1285959521">
              <w:marLeft w:val="0"/>
              <w:marRight w:val="0"/>
              <w:marTop w:val="0"/>
              <w:marBottom w:val="0"/>
              <w:divBdr>
                <w:top w:val="none" w:sz="0" w:space="0" w:color="auto"/>
                <w:left w:val="none" w:sz="0" w:space="0" w:color="auto"/>
                <w:bottom w:val="none" w:sz="0" w:space="0" w:color="auto"/>
                <w:right w:val="none" w:sz="0" w:space="0" w:color="auto"/>
              </w:divBdr>
              <w:divsChild>
                <w:div w:id="2138985923">
                  <w:marLeft w:val="0"/>
                  <w:marRight w:val="0"/>
                  <w:marTop w:val="0"/>
                  <w:marBottom w:val="0"/>
                  <w:divBdr>
                    <w:top w:val="none" w:sz="0" w:space="0" w:color="auto"/>
                    <w:left w:val="none" w:sz="0" w:space="0" w:color="auto"/>
                    <w:bottom w:val="none" w:sz="0" w:space="0" w:color="auto"/>
                    <w:right w:val="none" w:sz="0" w:space="0" w:color="auto"/>
                  </w:divBdr>
                  <w:divsChild>
                    <w:div w:id="1861820051">
                      <w:marLeft w:val="0"/>
                      <w:marRight w:val="0"/>
                      <w:marTop w:val="120"/>
                      <w:marBottom w:val="0"/>
                      <w:divBdr>
                        <w:top w:val="none" w:sz="0" w:space="0" w:color="auto"/>
                        <w:left w:val="none" w:sz="0" w:space="0" w:color="auto"/>
                        <w:bottom w:val="none" w:sz="0" w:space="0" w:color="auto"/>
                        <w:right w:val="none" w:sz="0" w:space="0" w:color="auto"/>
                      </w:divBdr>
                      <w:divsChild>
                        <w:div w:id="602538921">
                          <w:marLeft w:val="0"/>
                          <w:marRight w:val="0"/>
                          <w:marTop w:val="0"/>
                          <w:marBottom w:val="0"/>
                          <w:divBdr>
                            <w:top w:val="none" w:sz="0" w:space="0" w:color="auto"/>
                            <w:left w:val="none" w:sz="0" w:space="0" w:color="auto"/>
                            <w:bottom w:val="none" w:sz="0" w:space="0" w:color="auto"/>
                            <w:right w:val="none" w:sz="0" w:space="0" w:color="auto"/>
                          </w:divBdr>
                          <w:divsChild>
                            <w:div w:id="551484">
                              <w:marLeft w:val="0"/>
                              <w:marRight w:val="0"/>
                              <w:marTop w:val="0"/>
                              <w:marBottom w:val="0"/>
                              <w:divBdr>
                                <w:top w:val="none" w:sz="0" w:space="0" w:color="auto"/>
                                <w:left w:val="none" w:sz="0" w:space="0" w:color="auto"/>
                                <w:bottom w:val="none" w:sz="0" w:space="0" w:color="auto"/>
                                <w:right w:val="none" w:sz="0" w:space="0" w:color="auto"/>
                              </w:divBdr>
                              <w:divsChild>
                                <w:div w:id="98338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4835287">
          <w:marLeft w:val="0"/>
          <w:marRight w:val="0"/>
          <w:marTop w:val="0"/>
          <w:marBottom w:val="0"/>
          <w:divBdr>
            <w:top w:val="none" w:sz="0" w:space="0" w:color="auto"/>
            <w:left w:val="none" w:sz="0" w:space="0" w:color="auto"/>
            <w:bottom w:val="none" w:sz="0" w:space="0" w:color="auto"/>
            <w:right w:val="none" w:sz="0" w:space="0" w:color="auto"/>
          </w:divBdr>
          <w:divsChild>
            <w:div w:id="502166776">
              <w:marLeft w:val="0"/>
              <w:marRight w:val="0"/>
              <w:marTop w:val="0"/>
              <w:marBottom w:val="0"/>
              <w:divBdr>
                <w:top w:val="none" w:sz="0" w:space="0" w:color="auto"/>
                <w:left w:val="none" w:sz="0" w:space="0" w:color="auto"/>
                <w:bottom w:val="none" w:sz="0" w:space="0" w:color="auto"/>
                <w:right w:val="none" w:sz="0" w:space="0" w:color="auto"/>
              </w:divBdr>
              <w:divsChild>
                <w:div w:id="2071494452">
                  <w:marLeft w:val="0"/>
                  <w:marRight w:val="0"/>
                  <w:marTop w:val="0"/>
                  <w:marBottom w:val="0"/>
                  <w:divBdr>
                    <w:top w:val="none" w:sz="0" w:space="0" w:color="auto"/>
                    <w:left w:val="none" w:sz="0" w:space="0" w:color="auto"/>
                    <w:bottom w:val="none" w:sz="0" w:space="0" w:color="auto"/>
                    <w:right w:val="none" w:sz="0" w:space="0" w:color="auto"/>
                  </w:divBdr>
                  <w:divsChild>
                    <w:div w:id="267661615">
                      <w:marLeft w:val="0"/>
                      <w:marRight w:val="0"/>
                      <w:marTop w:val="0"/>
                      <w:marBottom w:val="0"/>
                      <w:divBdr>
                        <w:top w:val="none" w:sz="0" w:space="0" w:color="auto"/>
                        <w:left w:val="none" w:sz="0" w:space="0" w:color="auto"/>
                        <w:bottom w:val="none" w:sz="0" w:space="0" w:color="auto"/>
                        <w:right w:val="none" w:sz="0" w:space="0" w:color="auto"/>
                      </w:divBdr>
                      <w:divsChild>
                        <w:div w:id="1379010906">
                          <w:marLeft w:val="0"/>
                          <w:marRight w:val="0"/>
                          <w:marTop w:val="0"/>
                          <w:marBottom w:val="0"/>
                          <w:divBdr>
                            <w:top w:val="none" w:sz="0" w:space="0" w:color="auto"/>
                            <w:left w:val="none" w:sz="0" w:space="0" w:color="auto"/>
                            <w:bottom w:val="none" w:sz="0" w:space="0" w:color="auto"/>
                            <w:right w:val="none" w:sz="0" w:space="0" w:color="auto"/>
                          </w:divBdr>
                          <w:divsChild>
                            <w:div w:id="146090996">
                              <w:marLeft w:val="0"/>
                              <w:marRight w:val="0"/>
                              <w:marTop w:val="0"/>
                              <w:marBottom w:val="0"/>
                              <w:divBdr>
                                <w:top w:val="none" w:sz="0" w:space="0" w:color="auto"/>
                                <w:left w:val="none" w:sz="0" w:space="0" w:color="auto"/>
                                <w:bottom w:val="none" w:sz="0" w:space="0" w:color="auto"/>
                                <w:right w:val="none" w:sz="0" w:space="0" w:color="auto"/>
                              </w:divBdr>
                              <w:divsChild>
                                <w:div w:id="1286306174">
                                  <w:marLeft w:val="0"/>
                                  <w:marRight w:val="120"/>
                                  <w:marTop w:val="0"/>
                                  <w:marBottom w:val="0"/>
                                  <w:divBdr>
                                    <w:top w:val="none" w:sz="0" w:space="0" w:color="auto"/>
                                    <w:left w:val="none" w:sz="0" w:space="0" w:color="auto"/>
                                    <w:bottom w:val="none" w:sz="0" w:space="0" w:color="auto"/>
                                    <w:right w:val="none" w:sz="0" w:space="0" w:color="auto"/>
                                  </w:divBdr>
                                  <w:divsChild>
                                    <w:div w:id="69600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1652364">
      <w:bodyDiv w:val="1"/>
      <w:marLeft w:val="0"/>
      <w:marRight w:val="0"/>
      <w:marTop w:val="0"/>
      <w:marBottom w:val="0"/>
      <w:divBdr>
        <w:top w:val="none" w:sz="0" w:space="0" w:color="auto"/>
        <w:left w:val="none" w:sz="0" w:space="0" w:color="auto"/>
        <w:bottom w:val="none" w:sz="0" w:space="0" w:color="auto"/>
        <w:right w:val="none" w:sz="0" w:space="0" w:color="auto"/>
      </w:divBdr>
      <w:divsChild>
        <w:div w:id="1235161613">
          <w:marLeft w:val="0"/>
          <w:marRight w:val="0"/>
          <w:marTop w:val="0"/>
          <w:marBottom w:val="0"/>
          <w:divBdr>
            <w:top w:val="none" w:sz="0" w:space="0" w:color="auto"/>
            <w:left w:val="none" w:sz="0" w:space="0" w:color="auto"/>
            <w:bottom w:val="none" w:sz="0" w:space="0" w:color="auto"/>
            <w:right w:val="none" w:sz="0" w:space="0" w:color="auto"/>
          </w:divBdr>
        </w:div>
        <w:div w:id="2081176950">
          <w:marLeft w:val="0"/>
          <w:marRight w:val="0"/>
          <w:marTop w:val="0"/>
          <w:marBottom w:val="0"/>
          <w:divBdr>
            <w:top w:val="none" w:sz="0" w:space="0" w:color="auto"/>
            <w:left w:val="none" w:sz="0" w:space="0" w:color="auto"/>
            <w:bottom w:val="none" w:sz="0" w:space="0" w:color="auto"/>
            <w:right w:val="none" w:sz="0" w:space="0" w:color="auto"/>
          </w:divBdr>
        </w:div>
        <w:div w:id="1941451665">
          <w:marLeft w:val="0"/>
          <w:marRight w:val="0"/>
          <w:marTop w:val="0"/>
          <w:marBottom w:val="0"/>
          <w:divBdr>
            <w:top w:val="none" w:sz="0" w:space="0" w:color="auto"/>
            <w:left w:val="none" w:sz="0" w:space="0" w:color="auto"/>
            <w:bottom w:val="none" w:sz="0" w:space="0" w:color="auto"/>
            <w:right w:val="none" w:sz="0" w:space="0" w:color="auto"/>
          </w:divBdr>
        </w:div>
        <w:div w:id="1693455916">
          <w:marLeft w:val="0"/>
          <w:marRight w:val="0"/>
          <w:marTop w:val="0"/>
          <w:marBottom w:val="0"/>
          <w:divBdr>
            <w:top w:val="none" w:sz="0" w:space="0" w:color="auto"/>
            <w:left w:val="none" w:sz="0" w:space="0" w:color="auto"/>
            <w:bottom w:val="none" w:sz="0" w:space="0" w:color="auto"/>
            <w:right w:val="none" w:sz="0" w:space="0" w:color="auto"/>
          </w:divBdr>
        </w:div>
        <w:div w:id="445658844">
          <w:marLeft w:val="0"/>
          <w:marRight w:val="0"/>
          <w:marTop w:val="0"/>
          <w:marBottom w:val="0"/>
          <w:divBdr>
            <w:top w:val="none" w:sz="0" w:space="0" w:color="auto"/>
            <w:left w:val="none" w:sz="0" w:space="0" w:color="auto"/>
            <w:bottom w:val="none" w:sz="0" w:space="0" w:color="auto"/>
            <w:right w:val="none" w:sz="0" w:space="0" w:color="auto"/>
          </w:divBdr>
        </w:div>
        <w:div w:id="851722551">
          <w:marLeft w:val="0"/>
          <w:marRight w:val="0"/>
          <w:marTop w:val="0"/>
          <w:marBottom w:val="0"/>
          <w:divBdr>
            <w:top w:val="none" w:sz="0" w:space="0" w:color="auto"/>
            <w:left w:val="none" w:sz="0" w:space="0" w:color="auto"/>
            <w:bottom w:val="none" w:sz="0" w:space="0" w:color="auto"/>
            <w:right w:val="none" w:sz="0" w:space="0" w:color="auto"/>
          </w:divBdr>
        </w:div>
      </w:divsChild>
    </w:div>
    <w:div w:id="1935628711">
      <w:bodyDiv w:val="1"/>
      <w:marLeft w:val="0"/>
      <w:marRight w:val="0"/>
      <w:marTop w:val="0"/>
      <w:marBottom w:val="0"/>
      <w:divBdr>
        <w:top w:val="none" w:sz="0" w:space="0" w:color="auto"/>
        <w:left w:val="none" w:sz="0" w:space="0" w:color="auto"/>
        <w:bottom w:val="none" w:sz="0" w:space="0" w:color="auto"/>
        <w:right w:val="none" w:sz="0" w:space="0" w:color="auto"/>
      </w:divBdr>
      <w:divsChild>
        <w:div w:id="2060786958">
          <w:marLeft w:val="0"/>
          <w:marRight w:val="0"/>
          <w:marTop w:val="0"/>
          <w:marBottom w:val="0"/>
          <w:divBdr>
            <w:top w:val="none" w:sz="0" w:space="0" w:color="auto"/>
            <w:left w:val="none" w:sz="0" w:space="0" w:color="auto"/>
            <w:bottom w:val="none" w:sz="0" w:space="0" w:color="auto"/>
            <w:right w:val="none" w:sz="0" w:space="0" w:color="auto"/>
          </w:divBdr>
          <w:divsChild>
            <w:div w:id="1946571345">
              <w:marLeft w:val="0"/>
              <w:marRight w:val="0"/>
              <w:marTop w:val="0"/>
              <w:marBottom w:val="0"/>
              <w:divBdr>
                <w:top w:val="none" w:sz="0" w:space="0" w:color="auto"/>
                <w:left w:val="none" w:sz="0" w:space="0" w:color="auto"/>
                <w:bottom w:val="none" w:sz="0" w:space="0" w:color="auto"/>
                <w:right w:val="none" w:sz="0" w:space="0" w:color="auto"/>
              </w:divBdr>
              <w:divsChild>
                <w:div w:id="96147294">
                  <w:marLeft w:val="0"/>
                  <w:marRight w:val="0"/>
                  <w:marTop w:val="0"/>
                  <w:marBottom w:val="0"/>
                  <w:divBdr>
                    <w:top w:val="none" w:sz="0" w:space="0" w:color="auto"/>
                    <w:left w:val="none" w:sz="0" w:space="0" w:color="auto"/>
                    <w:bottom w:val="none" w:sz="0" w:space="0" w:color="auto"/>
                    <w:right w:val="none" w:sz="0" w:space="0" w:color="auto"/>
                  </w:divBdr>
                  <w:divsChild>
                    <w:div w:id="543718319">
                      <w:marLeft w:val="0"/>
                      <w:marRight w:val="0"/>
                      <w:marTop w:val="120"/>
                      <w:marBottom w:val="0"/>
                      <w:divBdr>
                        <w:top w:val="none" w:sz="0" w:space="0" w:color="auto"/>
                        <w:left w:val="none" w:sz="0" w:space="0" w:color="auto"/>
                        <w:bottom w:val="none" w:sz="0" w:space="0" w:color="auto"/>
                        <w:right w:val="none" w:sz="0" w:space="0" w:color="auto"/>
                      </w:divBdr>
                      <w:divsChild>
                        <w:div w:id="1898465436">
                          <w:marLeft w:val="0"/>
                          <w:marRight w:val="0"/>
                          <w:marTop w:val="0"/>
                          <w:marBottom w:val="0"/>
                          <w:divBdr>
                            <w:top w:val="none" w:sz="0" w:space="0" w:color="auto"/>
                            <w:left w:val="none" w:sz="0" w:space="0" w:color="auto"/>
                            <w:bottom w:val="none" w:sz="0" w:space="0" w:color="auto"/>
                            <w:right w:val="none" w:sz="0" w:space="0" w:color="auto"/>
                          </w:divBdr>
                          <w:divsChild>
                            <w:div w:id="1843887269">
                              <w:marLeft w:val="0"/>
                              <w:marRight w:val="0"/>
                              <w:marTop w:val="0"/>
                              <w:marBottom w:val="0"/>
                              <w:divBdr>
                                <w:top w:val="none" w:sz="0" w:space="0" w:color="auto"/>
                                <w:left w:val="none" w:sz="0" w:space="0" w:color="auto"/>
                                <w:bottom w:val="none" w:sz="0" w:space="0" w:color="auto"/>
                                <w:right w:val="none" w:sz="0" w:space="0" w:color="auto"/>
                              </w:divBdr>
                              <w:divsChild>
                                <w:div w:id="1892307345">
                                  <w:marLeft w:val="0"/>
                                  <w:marRight w:val="0"/>
                                  <w:marTop w:val="0"/>
                                  <w:marBottom w:val="0"/>
                                  <w:divBdr>
                                    <w:top w:val="none" w:sz="0" w:space="0" w:color="auto"/>
                                    <w:left w:val="none" w:sz="0" w:space="0" w:color="auto"/>
                                    <w:bottom w:val="none" w:sz="0" w:space="0" w:color="auto"/>
                                    <w:right w:val="none" w:sz="0" w:space="0" w:color="auto"/>
                                  </w:divBdr>
                                </w:div>
                                <w:div w:id="1163813815">
                                  <w:marLeft w:val="0"/>
                                  <w:marRight w:val="0"/>
                                  <w:marTop w:val="0"/>
                                  <w:marBottom w:val="0"/>
                                  <w:divBdr>
                                    <w:top w:val="none" w:sz="0" w:space="0" w:color="auto"/>
                                    <w:left w:val="none" w:sz="0" w:space="0" w:color="auto"/>
                                    <w:bottom w:val="none" w:sz="0" w:space="0" w:color="auto"/>
                                    <w:right w:val="none" w:sz="0" w:space="0" w:color="auto"/>
                                  </w:divBdr>
                                </w:div>
                                <w:div w:id="2014792524">
                                  <w:marLeft w:val="0"/>
                                  <w:marRight w:val="0"/>
                                  <w:marTop w:val="0"/>
                                  <w:marBottom w:val="0"/>
                                  <w:divBdr>
                                    <w:top w:val="none" w:sz="0" w:space="0" w:color="auto"/>
                                    <w:left w:val="none" w:sz="0" w:space="0" w:color="auto"/>
                                    <w:bottom w:val="none" w:sz="0" w:space="0" w:color="auto"/>
                                    <w:right w:val="none" w:sz="0" w:space="0" w:color="auto"/>
                                  </w:divBdr>
                                </w:div>
                                <w:div w:id="1243217963">
                                  <w:marLeft w:val="0"/>
                                  <w:marRight w:val="0"/>
                                  <w:marTop w:val="0"/>
                                  <w:marBottom w:val="0"/>
                                  <w:divBdr>
                                    <w:top w:val="none" w:sz="0" w:space="0" w:color="auto"/>
                                    <w:left w:val="none" w:sz="0" w:space="0" w:color="auto"/>
                                    <w:bottom w:val="none" w:sz="0" w:space="0" w:color="auto"/>
                                    <w:right w:val="none" w:sz="0" w:space="0" w:color="auto"/>
                                  </w:divBdr>
                                </w:div>
                                <w:div w:id="201523566">
                                  <w:marLeft w:val="0"/>
                                  <w:marRight w:val="0"/>
                                  <w:marTop w:val="0"/>
                                  <w:marBottom w:val="0"/>
                                  <w:divBdr>
                                    <w:top w:val="none" w:sz="0" w:space="0" w:color="auto"/>
                                    <w:left w:val="none" w:sz="0" w:space="0" w:color="auto"/>
                                    <w:bottom w:val="none" w:sz="0" w:space="0" w:color="auto"/>
                                    <w:right w:val="none" w:sz="0" w:space="0" w:color="auto"/>
                                  </w:divBdr>
                                </w:div>
                                <w:div w:id="195162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3013343">
          <w:marLeft w:val="0"/>
          <w:marRight w:val="0"/>
          <w:marTop w:val="0"/>
          <w:marBottom w:val="0"/>
          <w:divBdr>
            <w:top w:val="none" w:sz="0" w:space="0" w:color="auto"/>
            <w:left w:val="none" w:sz="0" w:space="0" w:color="auto"/>
            <w:bottom w:val="none" w:sz="0" w:space="0" w:color="auto"/>
            <w:right w:val="none" w:sz="0" w:space="0" w:color="auto"/>
          </w:divBdr>
          <w:divsChild>
            <w:div w:id="1805538400">
              <w:marLeft w:val="0"/>
              <w:marRight w:val="0"/>
              <w:marTop w:val="0"/>
              <w:marBottom w:val="0"/>
              <w:divBdr>
                <w:top w:val="none" w:sz="0" w:space="0" w:color="auto"/>
                <w:left w:val="none" w:sz="0" w:space="0" w:color="auto"/>
                <w:bottom w:val="none" w:sz="0" w:space="0" w:color="auto"/>
                <w:right w:val="none" w:sz="0" w:space="0" w:color="auto"/>
              </w:divBdr>
              <w:divsChild>
                <w:div w:id="1904175401">
                  <w:marLeft w:val="0"/>
                  <w:marRight w:val="0"/>
                  <w:marTop w:val="0"/>
                  <w:marBottom w:val="0"/>
                  <w:divBdr>
                    <w:top w:val="none" w:sz="0" w:space="0" w:color="auto"/>
                    <w:left w:val="none" w:sz="0" w:space="0" w:color="auto"/>
                    <w:bottom w:val="none" w:sz="0" w:space="0" w:color="auto"/>
                    <w:right w:val="none" w:sz="0" w:space="0" w:color="auto"/>
                  </w:divBdr>
                  <w:divsChild>
                    <w:div w:id="1706563181">
                      <w:marLeft w:val="0"/>
                      <w:marRight w:val="0"/>
                      <w:marTop w:val="0"/>
                      <w:marBottom w:val="0"/>
                      <w:divBdr>
                        <w:top w:val="none" w:sz="0" w:space="0" w:color="auto"/>
                        <w:left w:val="none" w:sz="0" w:space="0" w:color="auto"/>
                        <w:bottom w:val="none" w:sz="0" w:space="0" w:color="auto"/>
                        <w:right w:val="none" w:sz="0" w:space="0" w:color="auto"/>
                      </w:divBdr>
                      <w:divsChild>
                        <w:div w:id="1238519998">
                          <w:marLeft w:val="0"/>
                          <w:marRight w:val="0"/>
                          <w:marTop w:val="0"/>
                          <w:marBottom w:val="0"/>
                          <w:divBdr>
                            <w:top w:val="none" w:sz="0" w:space="0" w:color="auto"/>
                            <w:left w:val="none" w:sz="0" w:space="0" w:color="auto"/>
                            <w:bottom w:val="none" w:sz="0" w:space="0" w:color="auto"/>
                            <w:right w:val="none" w:sz="0" w:space="0" w:color="auto"/>
                          </w:divBdr>
                          <w:divsChild>
                            <w:div w:id="764812472">
                              <w:marLeft w:val="0"/>
                              <w:marRight w:val="0"/>
                              <w:marTop w:val="0"/>
                              <w:marBottom w:val="0"/>
                              <w:divBdr>
                                <w:top w:val="none" w:sz="0" w:space="0" w:color="auto"/>
                                <w:left w:val="none" w:sz="0" w:space="0" w:color="auto"/>
                                <w:bottom w:val="none" w:sz="0" w:space="0" w:color="auto"/>
                                <w:right w:val="none" w:sz="0" w:space="0" w:color="auto"/>
                              </w:divBdr>
                              <w:divsChild>
                                <w:div w:id="1353607707">
                                  <w:marLeft w:val="0"/>
                                  <w:marRight w:val="120"/>
                                  <w:marTop w:val="0"/>
                                  <w:marBottom w:val="0"/>
                                  <w:divBdr>
                                    <w:top w:val="none" w:sz="0" w:space="0" w:color="auto"/>
                                    <w:left w:val="none" w:sz="0" w:space="0" w:color="auto"/>
                                    <w:bottom w:val="none" w:sz="0" w:space="0" w:color="auto"/>
                                    <w:right w:val="none" w:sz="0" w:space="0" w:color="auto"/>
                                  </w:divBdr>
                                  <w:divsChild>
                                    <w:div w:id="97872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49966075">
      <w:bodyDiv w:val="1"/>
      <w:marLeft w:val="0"/>
      <w:marRight w:val="0"/>
      <w:marTop w:val="0"/>
      <w:marBottom w:val="0"/>
      <w:divBdr>
        <w:top w:val="none" w:sz="0" w:space="0" w:color="auto"/>
        <w:left w:val="none" w:sz="0" w:space="0" w:color="auto"/>
        <w:bottom w:val="none" w:sz="0" w:space="0" w:color="auto"/>
        <w:right w:val="none" w:sz="0" w:space="0" w:color="auto"/>
      </w:divBdr>
      <w:divsChild>
        <w:div w:id="1435247337">
          <w:marLeft w:val="0"/>
          <w:marRight w:val="0"/>
          <w:marTop w:val="0"/>
          <w:marBottom w:val="0"/>
          <w:divBdr>
            <w:top w:val="none" w:sz="0" w:space="0" w:color="auto"/>
            <w:left w:val="none" w:sz="0" w:space="0" w:color="auto"/>
            <w:bottom w:val="none" w:sz="0" w:space="0" w:color="auto"/>
            <w:right w:val="none" w:sz="0" w:space="0" w:color="auto"/>
          </w:divBdr>
        </w:div>
        <w:div w:id="644163703">
          <w:marLeft w:val="0"/>
          <w:marRight w:val="0"/>
          <w:marTop w:val="0"/>
          <w:marBottom w:val="0"/>
          <w:divBdr>
            <w:top w:val="none" w:sz="0" w:space="0" w:color="auto"/>
            <w:left w:val="none" w:sz="0" w:space="0" w:color="auto"/>
            <w:bottom w:val="none" w:sz="0" w:space="0" w:color="auto"/>
            <w:right w:val="none" w:sz="0" w:space="0" w:color="auto"/>
          </w:divBdr>
          <w:divsChild>
            <w:div w:id="1713456317">
              <w:marLeft w:val="0"/>
              <w:marRight w:val="0"/>
              <w:marTop w:val="0"/>
              <w:marBottom w:val="0"/>
              <w:divBdr>
                <w:top w:val="none" w:sz="0" w:space="0" w:color="auto"/>
                <w:left w:val="none" w:sz="0" w:space="0" w:color="auto"/>
                <w:bottom w:val="none" w:sz="0" w:space="0" w:color="auto"/>
                <w:right w:val="none" w:sz="0" w:space="0" w:color="auto"/>
              </w:divBdr>
            </w:div>
            <w:div w:id="901792225">
              <w:marLeft w:val="0"/>
              <w:marRight w:val="0"/>
              <w:marTop w:val="0"/>
              <w:marBottom w:val="0"/>
              <w:divBdr>
                <w:top w:val="none" w:sz="0" w:space="0" w:color="auto"/>
                <w:left w:val="none" w:sz="0" w:space="0" w:color="auto"/>
                <w:bottom w:val="none" w:sz="0" w:space="0" w:color="auto"/>
                <w:right w:val="none" w:sz="0" w:space="0" w:color="auto"/>
              </w:divBdr>
            </w:div>
            <w:div w:id="1916432342">
              <w:marLeft w:val="0"/>
              <w:marRight w:val="0"/>
              <w:marTop w:val="0"/>
              <w:marBottom w:val="0"/>
              <w:divBdr>
                <w:top w:val="none" w:sz="0" w:space="0" w:color="auto"/>
                <w:left w:val="none" w:sz="0" w:space="0" w:color="auto"/>
                <w:bottom w:val="none" w:sz="0" w:space="0" w:color="auto"/>
                <w:right w:val="none" w:sz="0" w:space="0" w:color="auto"/>
              </w:divBdr>
            </w:div>
            <w:div w:id="2140803561">
              <w:marLeft w:val="0"/>
              <w:marRight w:val="0"/>
              <w:marTop w:val="0"/>
              <w:marBottom w:val="0"/>
              <w:divBdr>
                <w:top w:val="none" w:sz="0" w:space="0" w:color="auto"/>
                <w:left w:val="none" w:sz="0" w:space="0" w:color="auto"/>
                <w:bottom w:val="none" w:sz="0" w:space="0" w:color="auto"/>
                <w:right w:val="none" w:sz="0" w:space="0" w:color="auto"/>
              </w:divBdr>
            </w:div>
            <w:div w:id="729116855">
              <w:marLeft w:val="0"/>
              <w:marRight w:val="0"/>
              <w:marTop w:val="0"/>
              <w:marBottom w:val="0"/>
              <w:divBdr>
                <w:top w:val="none" w:sz="0" w:space="0" w:color="auto"/>
                <w:left w:val="none" w:sz="0" w:space="0" w:color="auto"/>
                <w:bottom w:val="none" w:sz="0" w:space="0" w:color="auto"/>
                <w:right w:val="none" w:sz="0" w:space="0" w:color="auto"/>
              </w:divBdr>
            </w:div>
            <w:div w:id="1128163251">
              <w:marLeft w:val="0"/>
              <w:marRight w:val="0"/>
              <w:marTop w:val="0"/>
              <w:marBottom w:val="0"/>
              <w:divBdr>
                <w:top w:val="none" w:sz="0" w:space="0" w:color="auto"/>
                <w:left w:val="none" w:sz="0" w:space="0" w:color="auto"/>
                <w:bottom w:val="none" w:sz="0" w:space="0" w:color="auto"/>
                <w:right w:val="none" w:sz="0" w:space="0" w:color="auto"/>
              </w:divBdr>
            </w:div>
            <w:div w:id="1744721835">
              <w:marLeft w:val="0"/>
              <w:marRight w:val="0"/>
              <w:marTop w:val="0"/>
              <w:marBottom w:val="0"/>
              <w:divBdr>
                <w:top w:val="none" w:sz="0" w:space="0" w:color="auto"/>
                <w:left w:val="none" w:sz="0" w:space="0" w:color="auto"/>
                <w:bottom w:val="none" w:sz="0" w:space="0" w:color="auto"/>
                <w:right w:val="none" w:sz="0" w:space="0" w:color="auto"/>
              </w:divBdr>
            </w:div>
            <w:div w:id="1573005628">
              <w:marLeft w:val="0"/>
              <w:marRight w:val="0"/>
              <w:marTop w:val="0"/>
              <w:marBottom w:val="0"/>
              <w:divBdr>
                <w:top w:val="none" w:sz="0" w:space="0" w:color="auto"/>
                <w:left w:val="none" w:sz="0" w:space="0" w:color="auto"/>
                <w:bottom w:val="none" w:sz="0" w:space="0" w:color="auto"/>
                <w:right w:val="none" w:sz="0" w:space="0" w:color="auto"/>
              </w:divBdr>
            </w:div>
            <w:div w:id="1836918585">
              <w:marLeft w:val="0"/>
              <w:marRight w:val="0"/>
              <w:marTop w:val="0"/>
              <w:marBottom w:val="0"/>
              <w:divBdr>
                <w:top w:val="none" w:sz="0" w:space="0" w:color="auto"/>
                <w:left w:val="none" w:sz="0" w:space="0" w:color="auto"/>
                <w:bottom w:val="none" w:sz="0" w:space="0" w:color="auto"/>
                <w:right w:val="none" w:sz="0" w:space="0" w:color="auto"/>
              </w:divBdr>
            </w:div>
            <w:div w:id="999310360">
              <w:marLeft w:val="0"/>
              <w:marRight w:val="0"/>
              <w:marTop w:val="0"/>
              <w:marBottom w:val="0"/>
              <w:divBdr>
                <w:top w:val="none" w:sz="0" w:space="0" w:color="auto"/>
                <w:left w:val="none" w:sz="0" w:space="0" w:color="auto"/>
                <w:bottom w:val="none" w:sz="0" w:space="0" w:color="auto"/>
                <w:right w:val="none" w:sz="0" w:space="0" w:color="auto"/>
              </w:divBdr>
            </w:div>
            <w:div w:id="1525940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0353283">
      <w:bodyDiv w:val="1"/>
      <w:marLeft w:val="0"/>
      <w:marRight w:val="0"/>
      <w:marTop w:val="0"/>
      <w:marBottom w:val="0"/>
      <w:divBdr>
        <w:top w:val="none" w:sz="0" w:space="0" w:color="auto"/>
        <w:left w:val="none" w:sz="0" w:space="0" w:color="auto"/>
        <w:bottom w:val="none" w:sz="0" w:space="0" w:color="auto"/>
        <w:right w:val="none" w:sz="0" w:space="0" w:color="auto"/>
      </w:divBdr>
      <w:divsChild>
        <w:div w:id="514273306">
          <w:marLeft w:val="0"/>
          <w:marRight w:val="0"/>
          <w:marTop w:val="0"/>
          <w:marBottom w:val="0"/>
          <w:divBdr>
            <w:top w:val="none" w:sz="0" w:space="0" w:color="auto"/>
            <w:left w:val="none" w:sz="0" w:space="0" w:color="auto"/>
            <w:bottom w:val="none" w:sz="0" w:space="0" w:color="auto"/>
            <w:right w:val="none" w:sz="0" w:space="0" w:color="auto"/>
          </w:divBdr>
          <w:divsChild>
            <w:div w:id="2013141345">
              <w:marLeft w:val="0"/>
              <w:marRight w:val="0"/>
              <w:marTop w:val="0"/>
              <w:marBottom w:val="0"/>
              <w:divBdr>
                <w:top w:val="none" w:sz="0" w:space="0" w:color="auto"/>
                <w:left w:val="none" w:sz="0" w:space="0" w:color="auto"/>
                <w:bottom w:val="none" w:sz="0" w:space="0" w:color="auto"/>
                <w:right w:val="none" w:sz="0" w:space="0" w:color="auto"/>
              </w:divBdr>
              <w:divsChild>
                <w:div w:id="321663209">
                  <w:marLeft w:val="0"/>
                  <w:marRight w:val="0"/>
                  <w:marTop w:val="0"/>
                  <w:marBottom w:val="0"/>
                  <w:divBdr>
                    <w:top w:val="none" w:sz="0" w:space="0" w:color="auto"/>
                    <w:left w:val="none" w:sz="0" w:space="0" w:color="auto"/>
                    <w:bottom w:val="none" w:sz="0" w:space="0" w:color="auto"/>
                    <w:right w:val="none" w:sz="0" w:space="0" w:color="auto"/>
                  </w:divBdr>
                  <w:divsChild>
                    <w:div w:id="830683594">
                      <w:marLeft w:val="0"/>
                      <w:marRight w:val="0"/>
                      <w:marTop w:val="120"/>
                      <w:marBottom w:val="0"/>
                      <w:divBdr>
                        <w:top w:val="none" w:sz="0" w:space="0" w:color="auto"/>
                        <w:left w:val="none" w:sz="0" w:space="0" w:color="auto"/>
                        <w:bottom w:val="none" w:sz="0" w:space="0" w:color="auto"/>
                        <w:right w:val="none" w:sz="0" w:space="0" w:color="auto"/>
                      </w:divBdr>
                      <w:divsChild>
                        <w:div w:id="1474591811">
                          <w:marLeft w:val="0"/>
                          <w:marRight w:val="0"/>
                          <w:marTop w:val="0"/>
                          <w:marBottom w:val="0"/>
                          <w:divBdr>
                            <w:top w:val="none" w:sz="0" w:space="0" w:color="auto"/>
                            <w:left w:val="none" w:sz="0" w:space="0" w:color="auto"/>
                            <w:bottom w:val="none" w:sz="0" w:space="0" w:color="auto"/>
                            <w:right w:val="none" w:sz="0" w:space="0" w:color="auto"/>
                          </w:divBdr>
                          <w:divsChild>
                            <w:div w:id="162479934">
                              <w:marLeft w:val="0"/>
                              <w:marRight w:val="0"/>
                              <w:marTop w:val="0"/>
                              <w:marBottom w:val="0"/>
                              <w:divBdr>
                                <w:top w:val="none" w:sz="0" w:space="0" w:color="auto"/>
                                <w:left w:val="none" w:sz="0" w:space="0" w:color="auto"/>
                                <w:bottom w:val="none" w:sz="0" w:space="0" w:color="auto"/>
                                <w:right w:val="none" w:sz="0" w:space="0" w:color="auto"/>
                              </w:divBdr>
                              <w:divsChild>
                                <w:div w:id="1561862040">
                                  <w:marLeft w:val="0"/>
                                  <w:marRight w:val="0"/>
                                  <w:marTop w:val="0"/>
                                  <w:marBottom w:val="0"/>
                                  <w:divBdr>
                                    <w:top w:val="none" w:sz="0" w:space="0" w:color="auto"/>
                                    <w:left w:val="none" w:sz="0" w:space="0" w:color="auto"/>
                                    <w:bottom w:val="none" w:sz="0" w:space="0" w:color="auto"/>
                                    <w:right w:val="none" w:sz="0" w:space="0" w:color="auto"/>
                                  </w:divBdr>
                                  <w:divsChild>
                                    <w:div w:id="231161376">
                                      <w:marLeft w:val="0"/>
                                      <w:marRight w:val="0"/>
                                      <w:marTop w:val="0"/>
                                      <w:marBottom w:val="0"/>
                                      <w:divBdr>
                                        <w:top w:val="none" w:sz="0" w:space="0" w:color="auto"/>
                                        <w:left w:val="none" w:sz="0" w:space="0" w:color="auto"/>
                                        <w:bottom w:val="none" w:sz="0" w:space="0" w:color="auto"/>
                                        <w:right w:val="none" w:sz="0" w:space="0" w:color="auto"/>
                                      </w:divBdr>
                                    </w:div>
                                    <w:div w:id="1066295932">
                                      <w:marLeft w:val="0"/>
                                      <w:marRight w:val="0"/>
                                      <w:marTop w:val="30"/>
                                      <w:marBottom w:val="0"/>
                                      <w:divBdr>
                                        <w:top w:val="none" w:sz="0" w:space="0" w:color="auto"/>
                                        <w:left w:val="none" w:sz="0" w:space="0" w:color="auto"/>
                                        <w:bottom w:val="none" w:sz="0" w:space="0" w:color="auto"/>
                                        <w:right w:val="none" w:sz="0" w:space="0" w:color="auto"/>
                                      </w:divBdr>
                                      <w:divsChild>
                                        <w:div w:id="2114587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3897755">
      <w:bodyDiv w:val="1"/>
      <w:marLeft w:val="0"/>
      <w:marRight w:val="0"/>
      <w:marTop w:val="0"/>
      <w:marBottom w:val="0"/>
      <w:divBdr>
        <w:top w:val="none" w:sz="0" w:space="0" w:color="auto"/>
        <w:left w:val="none" w:sz="0" w:space="0" w:color="auto"/>
        <w:bottom w:val="none" w:sz="0" w:space="0" w:color="auto"/>
        <w:right w:val="none" w:sz="0" w:space="0" w:color="auto"/>
      </w:divBdr>
      <w:divsChild>
        <w:div w:id="641349460">
          <w:marLeft w:val="0"/>
          <w:marRight w:val="0"/>
          <w:marTop w:val="0"/>
          <w:marBottom w:val="0"/>
          <w:divBdr>
            <w:top w:val="none" w:sz="0" w:space="0" w:color="auto"/>
            <w:left w:val="none" w:sz="0" w:space="0" w:color="auto"/>
            <w:bottom w:val="none" w:sz="0" w:space="0" w:color="auto"/>
            <w:right w:val="none" w:sz="0" w:space="0" w:color="auto"/>
          </w:divBdr>
        </w:div>
        <w:div w:id="632173471">
          <w:marLeft w:val="0"/>
          <w:marRight w:val="0"/>
          <w:marTop w:val="0"/>
          <w:marBottom w:val="0"/>
          <w:divBdr>
            <w:top w:val="none" w:sz="0" w:space="0" w:color="auto"/>
            <w:left w:val="none" w:sz="0" w:space="0" w:color="auto"/>
            <w:bottom w:val="none" w:sz="0" w:space="0" w:color="auto"/>
            <w:right w:val="none" w:sz="0" w:space="0" w:color="auto"/>
          </w:divBdr>
        </w:div>
        <w:div w:id="1736271774">
          <w:marLeft w:val="0"/>
          <w:marRight w:val="0"/>
          <w:marTop w:val="0"/>
          <w:marBottom w:val="0"/>
          <w:divBdr>
            <w:top w:val="none" w:sz="0" w:space="0" w:color="auto"/>
            <w:left w:val="none" w:sz="0" w:space="0" w:color="auto"/>
            <w:bottom w:val="none" w:sz="0" w:space="0" w:color="auto"/>
            <w:right w:val="none" w:sz="0" w:space="0" w:color="auto"/>
          </w:divBdr>
        </w:div>
        <w:div w:id="780147188">
          <w:marLeft w:val="0"/>
          <w:marRight w:val="0"/>
          <w:marTop w:val="0"/>
          <w:marBottom w:val="0"/>
          <w:divBdr>
            <w:top w:val="none" w:sz="0" w:space="0" w:color="auto"/>
            <w:left w:val="none" w:sz="0" w:space="0" w:color="auto"/>
            <w:bottom w:val="none" w:sz="0" w:space="0" w:color="auto"/>
            <w:right w:val="none" w:sz="0" w:space="0" w:color="auto"/>
          </w:divBdr>
        </w:div>
        <w:div w:id="931550916">
          <w:marLeft w:val="0"/>
          <w:marRight w:val="0"/>
          <w:marTop w:val="0"/>
          <w:marBottom w:val="0"/>
          <w:divBdr>
            <w:top w:val="none" w:sz="0" w:space="0" w:color="auto"/>
            <w:left w:val="none" w:sz="0" w:space="0" w:color="auto"/>
            <w:bottom w:val="none" w:sz="0" w:space="0" w:color="auto"/>
            <w:right w:val="none" w:sz="0" w:space="0" w:color="auto"/>
          </w:divBdr>
        </w:div>
        <w:div w:id="810364901">
          <w:marLeft w:val="0"/>
          <w:marRight w:val="0"/>
          <w:marTop w:val="0"/>
          <w:marBottom w:val="0"/>
          <w:divBdr>
            <w:top w:val="none" w:sz="0" w:space="0" w:color="auto"/>
            <w:left w:val="none" w:sz="0" w:space="0" w:color="auto"/>
            <w:bottom w:val="none" w:sz="0" w:space="0" w:color="auto"/>
            <w:right w:val="none" w:sz="0" w:space="0" w:color="auto"/>
          </w:divBdr>
        </w:div>
        <w:div w:id="1832519850">
          <w:marLeft w:val="0"/>
          <w:marRight w:val="0"/>
          <w:marTop w:val="0"/>
          <w:marBottom w:val="0"/>
          <w:divBdr>
            <w:top w:val="none" w:sz="0" w:space="0" w:color="auto"/>
            <w:left w:val="none" w:sz="0" w:space="0" w:color="auto"/>
            <w:bottom w:val="none" w:sz="0" w:space="0" w:color="auto"/>
            <w:right w:val="none" w:sz="0" w:space="0" w:color="auto"/>
          </w:divBdr>
        </w:div>
        <w:div w:id="2128766958">
          <w:marLeft w:val="0"/>
          <w:marRight w:val="0"/>
          <w:marTop w:val="0"/>
          <w:marBottom w:val="0"/>
          <w:divBdr>
            <w:top w:val="none" w:sz="0" w:space="0" w:color="auto"/>
            <w:left w:val="none" w:sz="0" w:space="0" w:color="auto"/>
            <w:bottom w:val="none" w:sz="0" w:space="0" w:color="auto"/>
            <w:right w:val="none" w:sz="0" w:space="0" w:color="auto"/>
          </w:divBdr>
        </w:div>
        <w:div w:id="1312439903">
          <w:marLeft w:val="0"/>
          <w:marRight w:val="0"/>
          <w:marTop w:val="0"/>
          <w:marBottom w:val="0"/>
          <w:divBdr>
            <w:top w:val="none" w:sz="0" w:space="0" w:color="auto"/>
            <w:left w:val="none" w:sz="0" w:space="0" w:color="auto"/>
            <w:bottom w:val="none" w:sz="0" w:space="0" w:color="auto"/>
            <w:right w:val="none" w:sz="0" w:space="0" w:color="auto"/>
          </w:divBdr>
        </w:div>
        <w:div w:id="1373729833">
          <w:marLeft w:val="0"/>
          <w:marRight w:val="0"/>
          <w:marTop w:val="0"/>
          <w:marBottom w:val="0"/>
          <w:divBdr>
            <w:top w:val="none" w:sz="0" w:space="0" w:color="auto"/>
            <w:left w:val="none" w:sz="0" w:space="0" w:color="auto"/>
            <w:bottom w:val="none" w:sz="0" w:space="0" w:color="auto"/>
            <w:right w:val="none" w:sz="0" w:space="0" w:color="auto"/>
          </w:divBdr>
        </w:div>
        <w:div w:id="1971863971">
          <w:marLeft w:val="0"/>
          <w:marRight w:val="0"/>
          <w:marTop w:val="0"/>
          <w:marBottom w:val="0"/>
          <w:divBdr>
            <w:top w:val="none" w:sz="0" w:space="0" w:color="auto"/>
            <w:left w:val="none" w:sz="0" w:space="0" w:color="auto"/>
            <w:bottom w:val="none" w:sz="0" w:space="0" w:color="auto"/>
            <w:right w:val="none" w:sz="0" w:space="0" w:color="auto"/>
          </w:divBdr>
        </w:div>
        <w:div w:id="377319795">
          <w:marLeft w:val="0"/>
          <w:marRight w:val="0"/>
          <w:marTop w:val="0"/>
          <w:marBottom w:val="0"/>
          <w:divBdr>
            <w:top w:val="none" w:sz="0" w:space="0" w:color="auto"/>
            <w:left w:val="none" w:sz="0" w:space="0" w:color="auto"/>
            <w:bottom w:val="none" w:sz="0" w:space="0" w:color="auto"/>
            <w:right w:val="none" w:sz="0" w:space="0" w:color="auto"/>
          </w:divBdr>
        </w:div>
        <w:div w:id="1834955178">
          <w:marLeft w:val="0"/>
          <w:marRight w:val="0"/>
          <w:marTop w:val="0"/>
          <w:marBottom w:val="0"/>
          <w:divBdr>
            <w:top w:val="none" w:sz="0" w:space="0" w:color="auto"/>
            <w:left w:val="none" w:sz="0" w:space="0" w:color="auto"/>
            <w:bottom w:val="none" w:sz="0" w:space="0" w:color="auto"/>
            <w:right w:val="none" w:sz="0" w:space="0" w:color="auto"/>
          </w:divBdr>
        </w:div>
        <w:div w:id="1851720123">
          <w:marLeft w:val="0"/>
          <w:marRight w:val="0"/>
          <w:marTop w:val="0"/>
          <w:marBottom w:val="0"/>
          <w:divBdr>
            <w:top w:val="none" w:sz="0" w:space="0" w:color="auto"/>
            <w:left w:val="none" w:sz="0" w:space="0" w:color="auto"/>
            <w:bottom w:val="none" w:sz="0" w:space="0" w:color="auto"/>
            <w:right w:val="none" w:sz="0" w:space="0" w:color="auto"/>
          </w:divBdr>
        </w:div>
        <w:div w:id="1930115686">
          <w:marLeft w:val="0"/>
          <w:marRight w:val="0"/>
          <w:marTop w:val="0"/>
          <w:marBottom w:val="0"/>
          <w:divBdr>
            <w:top w:val="none" w:sz="0" w:space="0" w:color="auto"/>
            <w:left w:val="none" w:sz="0" w:space="0" w:color="auto"/>
            <w:bottom w:val="none" w:sz="0" w:space="0" w:color="auto"/>
            <w:right w:val="none" w:sz="0" w:space="0" w:color="auto"/>
          </w:divBdr>
        </w:div>
        <w:div w:id="1891574675">
          <w:marLeft w:val="0"/>
          <w:marRight w:val="0"/>
          <w:marTop w:val="0"/>
          <w:marBottom w:val="0"/>
          <w:divBdr>
            <w:top w:val="none" w:sz="0" w:space="0" w:color="auto"/>
            <w:left w:val="none" w:sz="0" w:space="0" w:color="auto"/>
            <w:bottom w:val="none" w:sz="0" w:space="0" w:color="auto"/>
            <w:right w:val="none" w:sz="0" w:space="0" w:color="auto"/>
          </w:divBdr>
        </w:div>
        <w:div w:id="1087464726">
          <w:marLeft w:val="0"/>
          <w:marRight w:val="0"/>
          <w:marTop w:val="0"/>
          <w:marBottom w:val="0"/>
          <w:divBdr>
            <w:top w:val="none" w:sz="0" w:space="0" w:color="auto"/>
            <w:left w:val="none" w:sz="0" w:space="0" w:color="auto"/>
            <w:bottom w:val="none" w:sz="0" w:space="0" w:color="auto"/>
            <w:right w:val="none" w:sz="0" w:space="0" w:color="auto"/>
          </w:divBdr>
        </w:div>
        <w:div w:id="365302742">
          <w:marLeft w:val="0"/>
          <w:marRight w:val="0"/>
          <w:marTop w:val="0"/>
          <w:marBottom w:val="0"/>
          <w:divBdr>
            <w:top w:val="none" w:sz="0" w:space="0" w:color="auto"/>
            <w:left w:val="none" w:sz="0" w:space="0" w:color="auto"/>
            <w:bottom w:val="none" w:sz="0" w:space="0" w:color="auto"/>
            <w:right w:val="none" w:sz="0" w:space="0" w:color="auto"/>
          </w:divBdr>
        </w:div>
        <w:div w:id="1960185693">
          <w:marLeft w:val="0"/>
          <w:marRight w:val="0"/>
          <w:marTop w:val="0"/>
          <w:marBottom w:val="0"/>
          <w:divBdr>
            <w:top w:val="none" w:sz="0" w:space="0" w:color="auto"/>
            <w:left w:val="none" w:sz="0" w:space="0" w:color="auto"/>
            <w:bottom w:val="none" w:sz="0" w:space="0" w:color="auto"/>
            <w:right w:val="none" w:sz="0" w:space="0" w:color="auto"/>
          </w:divBdr>
        </w:div>
        <w:div w:id="1989280570">
          <w:marLeft w:val="0"/>
          <w:marRight w:val="0"/>
          <w:marTop w:val="0"/>
          <w:marBottom w:val="0"/>
          <w:divBdr>
            <w:top w:val="none" w:sz="0" w:space="0" w:color="auto"/>
            <w:left w:val="none" w:sz="0" w:space="0" w:color="auto"/>
            <w:bottom w:val="none" w:sz="0" w:space="0" w:color="auto"/>
            <w:right w:val="none" w:sz="0" w:space="0" w:color="auto"/>
          </w:divBdr>
        </w:div>
        <w:div w:id="1092361356">
          <w:marLeft w:val="0"/>
          <w:marRight w:val="0"/>
          <w:marTop w:val="0"/>
          <w:marBottom w:val="0"/>
          <w:divBdr>
            <w:top w:val="none" w:sz="0" w:space="0" w:color="auto"/>
            <w:left w:val="none" w:sz="0" w:space="0" w:color="auto"/>
            <w:bottom w:val="none" w:sz="0" w:space="0" w:color="auto"/>
            <w:right w:val="none" w:sz="0" w:space="0" w:color="auto"/>
          </w:divBdr>
        </w:div>
        <w:div w:id="1163661149">
          <w:marLeft w:val="0"/>
          <w:marRight w:val="0"/>
          <w:marTop w:val="0"/>
          <w:marBottom w:val="0"/>
          <w:divBdr>
            <w:top w:val="none" w:sz="0" w:space="0" w:color="auto"/>
            <w:left w:val="none" w:sz="0" w:space="0" w:color="auto"/>
            <w:bottom w:val="none" w:sz="0" w:space="0" w:color="auto"/>
            <w:right w:val="none" w:sz="0" w:space="0" w:color="auto"/>
          </w:divBdr>
        </w:div>
        <w:div w:id="1640838658">
          <w:marLeft w:val="0"/>
          <w:marRight w:val="0"/>
          <w:marTop w:val="0"/>
          <w:marBottom w:val="0"/>
          <w:divBdr>
            <w:top w:val="none" w:sz="0" w:space="0" w:color="auto"/>
            <w:left w:val="none" w:sz="0" w:space="0" w:color="auto"/>
            <w:bottom w:val="none" w:sz="0" w:space="0" w:color="auto"/>
            <w:right w:val="none" w:sz="0" w:space="0" w:color="auto"/>
          </w:divBdr>
        </w:div>
        <w:div w:id="109669073">
          <w:marLeft w:val="0"/>
          <w:marRight w:val="0"/>
          <w:marTop w:val="0"/>
          <w:marBottom w:val="0"/>
          <w:divBdr>
            <w:top w:val="none" w:sz="0" w:space="0" w:color="auto"/>
            <w:left w:val="none" w:sz="0" w:space="0" w:color="auto"/>
            <w:bottom w:val="none" w:sz="0" w:space="0" w:color="auto"/>
            <w:right w:val="none" w:sz="0" w:space="0" w:color="auto"/>
          </w:divBdr>
        </w:div>
        <w:div w:id="1845825646">
          <w:marLeft w:val="0"/>
          <w:marRight w:val="0"/>
          <w:marTop w:val="0"/>
          <w:marBottom w:val="0"/>
          <w:divBdr>
            <w:top w:val="none" w:sz="0" w:space="0" w:color="auto"/>
            <w:left w:val="none" w:sz="0" w:space="0" w:color="auto"/>
            <w:bottom w:val="none" w:sz="0" w:space="0" w:color="auto"/>
            <w:right w:val="none" w:sz="0" w:space="0" w:color="auto"/>
          </w:divBdr>
        </w:div>
        <w:div w:id="1565725598">
          <w:marLeft w:val="0"/>
          <w:marRight w:val="0"/>
          <w:marTop w:val="0"/>
          <w:marBottom w:val="0"/>
          <w:divBdr>
            <w:top w:val="none" w:sz="0" w:space="0" w:color="auto"/>
            <w:left w:val="none" w:sz="0" w:space="0" w:color="auto"/>
            <w:bottom w:val="none" w:sz="0" w:space="0" w:color="auto"/>
            <w:right w:val="none" w:sz="0" w:space="0" w:color="auto"/>
          </w:divBdr>
        </w:div>
        <w:div w:id="621150601">
          <w:marLeft w:val="0"/>
          <w:marRight w:val="0"/>
          <w:marTop w:val="0"/>
          <w:marBottom w:val="0"/>
          <w:divBdr>
            <w:top w:val="none" w:sz="0" w:space="0" w:color="auto"/>
            <w:left w:val="none" w:sz="0" w:space="0" w:color="auto"/>
            <w:bottom w:val="none" w:sz="0" w:space="0" w:color="auto"/>
            <w:right w:val="none" w:sz="0" w:space="0" w:color="auto"/>
          </w:divBdr>
        </w:div>
      </w:divsChild>
    </w:div>
    <w:div w:id="2056542919">
      <w:bodyDiv w:val="1"/>
      <w:marLeft w:val="0"/>
      <w:marRight w:val="0"/>
      <w:marTop w:val="0"/>
      <w:marBottom w:val="0"/>
      <w:divBdr>
        <w:top w:val="none" w:sz="0" w:space="0" w:color="auto"/>
        <w:left w:val="none" w:sz="0" w:space="0" w:color="auto"/>
        <w:bottom w:val="none" w:sz="0" w:space="0" w:color="auto"/>
        <w:right w:val="none" w:sz="0" w:space="0" w:color="auto"/>
      </w:divBdr>
    </w:div>
    <w:div w:id="2118517940">
      <w:bodyDiv w:val="1"/>
      <w:marLeft w:val="0"/>
      <w:marRight w:val="0"/>
      <w:marTop w:val="0"/>
      <w:marBottom w:val="0"/>
      <w:divBdr>
        <w:top w:val="none" w:sz="0" w:space="0" w:color="auto"/>
        <w:left w:val="none" w:sz="0" w:space="0" w:color="auto"/>
        <w:bottom w:val="none" w:sz="0" w:space="0" w:color="auto"/>
        <w:right w:val="none" w:sz="0" w:space="0" w:color="auto"/>
      </w:divBdr>
      <w:divsChild>
        <w:div w:id="1703626333">
          <w:marLeft w:val="0"/>
          <w:marRight w:val="0"/>
          <w:marTop w:val="0"/>
          <w:marBottom w:val="0"/>
          <w:divBdr>
            <w:top w:val="none" w:sz="0" w:space="0" w:color="auto"/>
            <w:left w:val="none" w:sz="0" w:space="0" w:color="auto"/>
            <w:bottom w:val="none" w:sz="0" w:space="0" w:color="auto"/>
            <w:right w:val="none" w:sz="0" w:space="0" w:color="auto"/>
          </w:divBdr>
        </w:div>
        <w:div w:id="1848592017">
          <w:marLeft w:val="0"/>
          <w:marRight w:val="0"/>
          <w:marTop w:val="0"/>
          <w:marBottom w:val="0"/>
          <w:divBdr>
            <w:top w:val="none" w:sz="0" w:space="0" w:color="auto"/>
            <w:left w:val="none" w:sz="0" w:space="0" w:color="auto"/>
            <w:bottom w:val="none" w:sz="0" w:space="0" w:color="auto"/>
            <w:right w:val="none" w:sz="0" w:space="0" w:color="auto"/>
          </w:divBdr>
        </w:div>
        <w:div w:id="1131479106">
          <w:marLeft w:val="0"/>
          <w:marRight w:val="0"/>
          <w:marTop w:val="0"/>
          <w:marBottom w:val="0"/>
          <w:divBdr>
            <w:top w:val="none" w:sz="0" w:space="0" w:color="auto"/>
            <w:left w:val="none" w:sz="0" w:space="0" w:color="auto"/>
            <w:bottom w:val="none" w:sz="0" w:space="0" w:color="auto"/>
            <w:right w:val="none" w:sz="0" w:space="0" w:color="auto"/>
          </w:divBdr>
        </w:div>
        <w:div w:id="1621954750">
          <w:marLeft w:val="0"/>
          <w:marRight w:val="0"/>
          <w:marTop w:val="0"/>
          <w:marBottom w:val="0"/>
          <w:divBdr>
            <w:top w:val="none" w:sz="0" w:space="0" w:color="auto"/>
            <w:left w:val="none" w:sz="0" w:space="0" w:color="auto"/>
            <w:bottom w:val="none" w:sz="0" w:space="0" w:color="auto"/>
            <w:right w:val="none" w:sz="0" w:space="0" w:color="auto"/>
          </w:divBdr>
        </w:div>
        <w:div w:id="1362896840">
          <w:marLeft w:val="0"/>
          <w:marRight w:val="0"/>
          <w:marTop w:val="0"/>
          <w:marBottom w:val="0"/>
          <w:divBdr>
            <w:top w:val="none" w:sz="0" w:space="0" w:color="auto"/>
            <w:left w:val="none" w:sz="0" w:space="0" w:color="auto"/>
            <w:bottom w:val="none" w:sz="0" w:space="0" w:color="auto"/>
            <w:right w:val="none" w:sz="0" w:space="0" w:color="auto"/>
          </w:divBdr>
        </w:div>
        <w:div w:id="10916595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microsoft.com/office/2014/relationships/chartEx" Target="charts/chartEx3.xm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ifsw.org/"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4/relationships/chartEx" Target="charts/chartEx2.xml"/><Relationship Id="rId5" Type="http://schemas.openxmlformats.org/officeDocument/2006/relationships/webSettings" Target="webSettings.xml"/><Relationship Id="rId15" Type="http://schemas.openxmlformats.org/officeDocument/2006/relationships/image" Target="media/image3.gif"/><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microsoft.com/office/2014/relationships/chartEx" Target="charts/chartEx1.xml"/><Relationship Id="rId14"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Ex1.xml.rels><?xml version="1.0" encoding="UTF-8" standalone="yes"?>
<Relationships xmlns="http://schemas.openxmlformats.org/package/2006/relationships"><Relationship Id="rId2" Type="http://schemas.microsoft.com/office/2011/relationships/chartColorStyle" Target="colors1.xml"/><Relationship Id="rId1" Type="http://schemas.microsoft.com/office/2011/relationships/chartStyle" Target="style1.xml"/></Relationships>
</file>

<file path=word/charts/_rels/chartEx2.xml.rels><?xml version="1.0" encoding="UTF-8" standalone="yes"?>
<Relationships xmlns="http://schemas.openxmlformats.org/package/2006/relationships"><Relationship Id="rId2" Type="http://schemas.microsoft.com/office/2011/relationships/chartColorStyle" Target="colors2.xml"/><Relationship Id="rId1" Type="http://schemas.microsoft.com/office/2011/relationships/chartStyle" Target="style2.xml"/></Relationships>
</file>

<file path=word/charts/_rels/chartEx3.xml.rels><?xml version="1.0" encoding="UTF-8" standalone="yes"?>
<Relationships xmlns="http://schemas.openxmlformats.org/package/2006/relationships"><Relationship Id="rId2" Type="http://schemas.microsoft.com/office/2011/relationships/chartColorStyle" Target="colors3.xml"/><Relationship Id="rId1" Type="http://schemas.microsoft.com/office/2011/relationships/chartStyle" Target="style3.xml"/></Relationships>
</file>

<file path=word/charts/chartEx1.xml><?xml version="1.0" encoding="utf-8"?>
<cx:chartSpace xmlns:a="http://schemas.openxmlformats.org/drawingml/2006/main" xmlns:r="http://schemas.openxmlformats.org/officeDocument/2006/relationships" xmlns:cx="http://schemas.microsoft.com/office/drawing/2014/chartex">
  <cx:chartData>
    <cx:data id="0">
      <cx:numDim type="val">
        <cx:f>'[Gender Competencies of final year social work students under MG university, kerala_ A study on knowledge, skills, and practice in addressing gender based inequalities and violence.xlsx]Sheet1'!$A$2:$A$101</cx:f>
        <cx:lvl ptCount="100" formatCode="General">
          <cx:pt idx="0">1</cx:pt>
          <cx:pt idx="1">2</cx:pt>
          <cx:pt idx="2">1</cx:pt>
          <cx:pt idx="3">2</cx:pt>
          <cx:pt idx="4">2</cx:pt>
          <cx:pt idx="5">2</cx:pt>
          <cx:pt idx="6">3</cx:pt>
          <cx:pt idx="7">1</cx:pt>
          <cx:pt idx="8">1</cx:pt>
          <cx:pt idx="9">3</cx:pt>
          <cx:pt idx="10">3</cx:pt>
          <cx:pt idx="11">3</cx:pt>
          <cx:pt idx="12">3</cx:pt>
          <cx:pt idx="13">3</cx:pt>
          <cx:pt idx="14">3</cx:pt>
          <cx:pt idx="15">3</cx:pt>
          <cx:pt idx="16">2</cx:pt>
          <cx:pt idx="17">3</cx:pt>
          <cx:pt idx="18">1</cx:pt>
          <cx:pt idx="19">1</cx:pt>
          <cx:pt idx="20">1</cx:pt>
          <cx:pt idx="21">2</cx:pt>
          <cx:pt idx="22">1</cx:pt>
          <cx:pt idx="23">1</cx:pt>
          <cx:pt idx="24">1</cx:pt>
          <cx:pt idx="25">1</cx:pt>
          <cx:pt idx="26">3</cx:pt>
          <cx:pt idx="27">1</cx:pt>
          <cx:pt idx="28">1</cx:pt>
          <cx:pt idx="29">3</cx:pt>
          <cx:pt idx="30">1</cx:pt>
          <cx:pt idx="31">2</cx:pt>
          <cx:pt idx="32">3</cx:pt>
          <cx:pt idx="33">1</cx:pt>
          <cx:pt idx="34">2</cx:pt>
          <cx:pt idx="35">1</cx:pt>
          <cx:pt idx="36">3</cx:pt>
          <cx:pt idx="37">2</cx:pt>
          <cx:pt idx="38">2</cx:pt>
          <cx:pt idx="39">1</cx:pt>
          <cx:pt idx="40">3</cx:pt>
          <cx:pt idx="41">3</cx:pt>
          <cx:pt idx="42">3</cx:pt>
          <cx:pt idx="43">1</cx:pt>
          <cx:pt idx="44">1</cx:pt>
          <cx:pt idx="45">3</cx:pt>
          <cx:pt idx="46">2</cx:pt>
          <cx:pt idx="47">3</cx:pt>
          <cx:pt idx="48">1</cx:pt>
          <cx:pt idx="49">1</cx:pt>
          <cx:pt idx="50">1</cx:pt>
          <cx:pt idx="51">1</cx:pt>
          <cx:pt idx="52">3</cx:pt>
          <cx:pt idx="53">1</cx:pt>
          <cx:pt idx="54">3</cx:pt>
          <cx:pt idx="55">3</cx:pt>
          <cx:pt idx="56">1</cx:pt>
          <cx:pt idx="57">1</cx:pt>
          <cx:pt idx="58">1</cx:pt>
          <cx:pt idx="59">1</cx:pt>
          <cx:pt idx="60">3</cx:pt>
          <cx:pt idx="61">3</cx:pt>
          <cx:pt idx="62">1</cx:pt>
          <cx:pt idx="63">3</cx:pt>
          <cx:pt idx="64">3</cx:pt>
          <cx:pt idx="65">2</cx:pt>
          <cx:pt idx="66">3</cx:pt>
          <cx:pt idx="67">1</cx:pt>
          <cx:pt idx="68">3</cx:pt>
          <cx:pt idx="69">1</cx:pt>
          <cx:pt idx="70">3</cx:pt>
          <cx:pt idx="71">1</cx:pt>
          <cx:pt idx="72">1</cx:pt>
          <cx:pt idx="73">1</cx:pt>
          <cx:pt idx="74">1</cx:pt>
          <cx:pt idx="75">1</cx:pt>
          <cx:pt idx="76">3</cx:pt>
          <cx:pt idx="77">1</cx:pt>
          <cx:pt idx="78">1</cx:pt>
          <cx:pt idx="79">3</cx:pt>
          <cx:pt idx="80">1</cx:pt>
          <cx:pt idx="81">1</cx:pt>
          <cx:pt idx="82">2</cx:pt>
          <cx:pt idx="83">3</cx:pt>
          <cx:pt idx="84">1</cx:pt>
          <cx:pt idx="85">1</cx:pt>
          <cx:pt idx="86">1</cx:pt>
          <cx:pt idx="87">1</cx:pt>
          <cx:pt idx="88">3</cx:pt>
          <cx:pt idx="89">1</cx:pt>
          <cx:pt idx="90">3</cx:pt>
          <cx:pt idx="91">3</cx:pt>
          <cx:pt idx="92">1</cx:pt>
          <cx:pt idx="93">3</cx:pt>
          <cx:pt idx="94">1</cx:pt>
          <cx:pt idx="95">3</cx:pt>
          <cx:pt idx="96">1</cx:pt>
          <cx:pt idx="97">3</cx:pt>
          <cx:pt idx="98">3</cx:pt>
          <cx:pt idx="99">2</cx:pt>
        </cx:lvl>
      </cx:numDim>
    </cx:data>
  </cx:chartData>
  <cx:chart>
    <cx:title pos="t" align="ctr" overlay="0">
      <cx:tx>
        <cx:txData>
          <cx:v> Department(specialized stream)</cx:v>
        </cx:txData>
      </cx:tx>
      <cx:txPr>
        <a:bodyPr rot="0" spcFirstLastPara="1" vertOverflow="ellipsis" vert="horz" wrap="square" lIns="38100" tIns="19050" rIns="38100" bIns="19050" anchor="ctr" anchorCtr="1" compatLnSpc="0"/>
        <a:lstStyle/>
        <a:p>
          <a:pPr algn="ctr" rtl="0">
            <a:defRPr sz="1400" b="0" i="0" u="none" strike="noStrike" kern="1200" spc="0" baseline="0">
              <a:solidFill>
                <a:sysClr val="windowText" lastClr="000000">
                  <a:lumMod val="65000"/>
                  <a:lumOff val="35000"/>
                </a:sysClr>
              </a:solidFill>
              <a:latin typeface="+mn-lt"/>
              <a:ea typeface="+mn-ea"/>
              <a:cs typeface="+mn-cs"/>
            </a:defRPr>
          </a:pPr>
          <a:r>
            <a:rPr kumimoji="0" lang="en-IN" sz="1400" b="0" i="0" u="none" strike="noStrike" kern="1200" cap="none" spc="0" normalizeH="0" baseline="0" noProof="0">
              <a:ln>
                <a:noFill/>
              </a:ln>
              <a:solidFill>
                <a:sysClr val="windowText" lastClr="000000">
                  <a:lumMod val="65000"/>
                  <a:lumOff val="35000"/>
                </a:sysClr>
              </a:solidFill>
              <a:effectLst/>
              <a:uLnTx/>
              <a:uFillTx/>
              <a:latin typeface="Calibri"/>
            </a:rPr>
            <a:t> Department(specialized stream)</a:t>
          </a:r>
        </a:p>
      </cx:txPr>
    </cx:title>
    <cx:plotArea>
      <cx:plotAreaRegion>
        <cx:series layoutId="clusteredColumn" uniqueId="{E699E977-22DF-4717-9FA6-C1DBEF113443}">
          <cx:tx>
            <cx:txData>
              <cx:f>'[Gender Competencies of final year social work students under MG university, kerala_ A study on knowledge, skills, and practice in addressing gender based inequalities and violence.xlsx]Sheet1'!$A$1</cx:f>
              <cx:v>5. Department(specialized stream)</cx:v>
            </cx:txData>
          </cx:tx>
          <cx:dataPt idx="0">
            <cx:spPr>
              <a:solidFill>
                <a:srgbClr val="C0504D">
                  <a:lumMod val="50000"/>
                  <a:alpha val="81000"/>
                </a:srgbClr>
              </a:solidFill>
            </cx:spPr>
          </cx:dataPt>
          <cx:dataPt idx="1">
            <cx:spPr>
              <a:solidFill>
                <a:srgbClr val="C0504D">
                  <a:lumMod val="60000"/>
                  <a:lumOff val="40000"/>
                </a:srgbClr>
              </a:solidFill>
            </cx:spPr>
          </cx:dataPt>
          <cx:dataPt idx="2">
            <cx:spPr>
              <a:solidFill>
                <a:srgbClr val="C0504D">
                  <a:lumMod val="75000"/>
                </a:srgbClr>
              </a:solidFill>
            </cx:spPr>
          </cx:dataPt>
          <cx:dataLabels>
            <cx:visibility seriesName="0" categoryName="0" value="1"/>
          </cx:dataLabels>
          <cx:dataId val="0"/>
          <cx:layoutPr>
            <cx:binning intervalClosed="r"/>
          </cx:layoutPr>
        </cx:series>
      </cx:plotAreaRegion>
      <cx:axis id="0">
        <cx:catScaling gapWidth="2.19000006"/>
        <cx:title/>
        <cx:tickLabels/>
      </cx:axis>
      <cx:axis id="1">
        <cx:valScaling/>
        <cx:title/>
        <cx:majorGridlines/>
        <cx:tickLabels/>
      </cx:axis>
    </cx:plotArea>
    <cx:legend pos="t" align="ctr" overlay="0"/>
  </cx:chart>
</cx:chartSpace>
</file>

<file path=word/charts/chartEx2.xml><?xml version="1.0" encoding="utf-8"?>
<cx:chartSpace xmlns:a="http://schemas.openxmlformats.org/drawingml/2006/main" xmlns:r="http://schemas.openxmlformats.org/officeDocument/2006/relationships" xmlns:cx="http://schemas.microsoft.com/office/drawing/2014/chartex">
  <cx:chartData>
    <cx:data id="0">
      <cx:numDim type="val">
        <cx:f>'[Gender Competencies of final year social work students under MG university^J kerala_ A study on knowledge^J skills^J and practice in addressing gender based inequalities and violence.xlsx]Sheet2'!$A$2:$A$101</cx:f>
        <cx:lvl ptCount="100" formatCode="General">
          <cx:pt idx="0">1</cx:pt>
          <cx:pt idx="1">1</cx:pt>
          <cx:pt idx="2">2</cx:pt>
          <cx:pt idx="3">1</cx:pt>
          <cx:pt idx="4">1</cx:pt>
          <cx:pt idx="5">1</cx:pt>
          <cx:pt idx="6">2</cx:pt>
          <cx:pt idx="7">2</cx:pt>
          <cx:pt idx="8">1</cx:pt>
          <cx:pt idx="9">1</cx:pt>
          <cx:pt idx="10">1</cx:pt>
          <cx:pt idx="11">1</cx:pt>
          <cx:pt idx="12">1</cx:pt>
          <cx:pt idx="13">2</cx:pt>
          <cx:pt idx="14">1</cx:pt>
          <cx:pt idx="15">1</cx:pt>
          <cx:pt idx="16">2</cx:pt>
          <cx:pt idx="17">1</cx:pt>
          <cx:pt idx="18">2</cx:pt>
          <cx:pt idx="19">1</cx:pt>
          <cx:pt idx="20">2</cx:pt>
          <cx:pt idx="21">1</cx:pt>
          <cx:pt idx="22">1</cx:pt>
          <cx:pt idx="23">2</cx:pt>
          <cx:pt idx="24">2</cx:pt>
          <cx:pt idx="25">2</cx:pt>
          <cx:pt idx="26">2</cx:pt>
          <cx:pt idx="27">2</cx:pt>
          <cx:pt idx="28">2</cx:pt>
          <cx:pt idx="29">2</cx:pt>
          <cx:pt idx="30">2</cx:pt>
          <cx:pt idx="31">2</cx:pt>
          <cx:pt idx="32">1</cx:pt>
          <cx:pt idx="33">2</cx:pt>
          <cx:pt idx="34">1</cx:pt>
          <cx:pt idx="35">2</cx:pt>
          <cx:pt idx="36">1</cx:pt>
          <cx:pt idx="37">2</cx:pt>
          <cx:pt idx="38">1</cx:pt>
          <cx:pt idx="39">2</cx:pt>
          <cx:pt idx="40">1</cx:pt>
          <cx:pt idx="41">2</cx:pt>
          <cx:pt idx="42">1</cx:pt>
          <cx:pt idx="43">2</cx:pt>
          <cx:pt idx="44">2</cx:pt>
          <cx:pt idx="45">1</cx:pt>
          <cx:pt idx="46">1</cx:pt>
          <cx:pt idx="47">1</cx:pt>
          <cx:pt idx="48">2</cx:pt>
          <cx:pt idx="49">2</cx:pt>
          <cx:pt idx="50">2</cx:pt>
          <cx:pt idx="51">2</cx:pt>
          <cx:pt idx="52">1</cx:pt>
          <cx:pt idx="53">2</cx:pt>
          <cx:pt idx="54">1</cx:pt>
          <cx:pt idx="55">1</cx:pt>
          <cx:pt idx="56">2</cx:pt>
          <cx:pt idx="57">2</cx:pt>
          <cx:pt idx="58">2</cx:pt>
          <cx:pt idx="59">2</cx:pt>
          <cx:pt idx="60">1</cx:pt>
          <cx:pt idx="61">2</cx:pt>
          <cx:pt idx="62">2</cx:pt>
          <cx:pt idx="63">1</cx:pt>
          <cx:pt idx="64">2</cx:pt>
          <cx:pt idx="65">1</cx:pt>
          <cx:pt idx="66">1</cx:pt>
          <cx:pt idx="67">1</cx:pt>
          <cx:pt idx="68">1</cx:pt>
          <cx:pt idx="69">2</cx:pt>
          <cx:pt idx="70">1</cx:pt>
          <cx:pt idx="71">2</cx:pt>
          <cx:pt idx="72">2</cx:pt>
          <cx:pt idx="73">1</cx:pt>
          <cx:pt idx="74">2</cx:pt>
          <cx:pt idx="75">1</cx:pt>
          <cx:pt idx="76">1</cx:pt>
          <cx:pt idx="77">1</cx:pt>
          <cx:pt idx="78">1</cx:pt>
          <cx:pt idx="79">1</cx:pt>
          <cx:pt idx="80">2</cx:pt>
          <cx:pt idx="81">2</cx:pt>
          <cx:pt idx="82">1</cx:pt>
          <cx:pt idx="83">1</cx:pt>
          <cx:pt idx="84">2</cx:pt>
          <cx:pt idx="85">2</cx:pt>
          <cx:pt idx="86">2</cx:pt>
          <cx:pt idx="87">2</cx:pt>
          <cx:pt idx="88">2</cx:pt>
          <cx:pt idx="89">2</cx:pt>
          <cx:pt idx="90">1</cx:pt>
          <cx:pt idx="91">1</cx:pt>
          <cx:pt idx="92">1</cx:pt>
          <cx:pt idx="93">2</cx:pt>
          <cx:pt idx="94">2</cx:pt>
          <cx:pt idx="95">1</cx:pt>
          <cx:pt idx="96">1</cx:pt>
          <cx:pt idx="97">2</cx:pt>
          <cx:pt idx="98">1</cx:pt>
          <cx:pt idx="99">1</cx:pt>
        </cx:lvl>
      </cx:numDim>
    </cx:data>
  </cx:chartData>
  <cx:chart>
    <cx:title pos="t" align="ctr" overlay="0">
      <cx:tx>
        <cx:txData>
          <cx:v>4. Gender</cx:v>
        </cx:txData>
      </cx:tx>
      <cx:txPr>
        <a:bodyPr rot="0" spcFirstLastPara="1" vertOverflow="ellipsis" vert="horz" wrap="square" lIns="38100" tIns="19050" rIns="38100" bIns="19050" anchor="ctr" anchorCtr="1" compatLnSpc="0"/>
        <a:lstStyle/>
        <a:p>
          <a:pPr algn="ctr" rtl="0">
            <a:defRPr sz="1800" b="1" i="0" u="none" strike="noStrike" baseline="0">
              <a:solidFill>
                <a:sysClr val="windowText" lastClr="000000">
                  <a:lumMod val="75000"/>
                  <a:lumOff val="25000"/>
                </a:sysClr>
              </a:solidFill>
              <a:latin typeface="+mn-lt"/>
              <a:ea typeface="+mn-ea"/>
              <a:cs typeface="+mn-cs"/>
            </a:defRPr>
          </a:pPr>
          <a:r>
            <a:rPr kumimoji="0" lang="en-US" sz="1800" b="1" i="0" u="none" strike="noStrike" kern="0" cap="none" spc="0" normalizeH="0" baseline="0" noProof="0">
              <a:ln>
                <a:noFill/>
              </a:ln>
              <a:solidFill>
                <a:sysClr val="windowText" lastClr="000000">
                  <a:lumMod val="75000"/>
                  <a:lumOff val="25000"/>
                </a:sysClr>
              </a:solidFill>
              <a:effectLst/>
              <a:uLnTx/>
              <a:uFillTx/>
              <a:latin typeface="Calibri"/>
            </a:rPr>
            <a:t>4. Gender</a:t>
          </a:r>
        </a:p>
      </cx:txPr>
    </cx:title>
    <cx:plotArea>
      <cx:plotAreaRegion>
        <cx:series layoutId="clusteredColumn" uniqueId="{490DA1F1-0B33-43FB-8E9B-E94888760EF0}">
          <cx:tx>
            <cx:txData>
              <cx:f>'[Gender Competencies of final year social work students under MG university^J kerala_ A study on knowledge^J skills^J and practice in addressing gender based inequalities and violence.xlsx]Sheet2'!$A$1</cx:f>
              <cx:v>4. Gender</cx:v>
            </cx:txData>
          </cx:tx>
          <cx:spPr>
            <a:solidFill>
              <a:schemeClr val="accent3">
                <a:lumMod val="50000"/>
              </a:schemeClr>
            </a:solidFill>
          </cx:spPr>
          <cx:dataPt idx="2">
            <cx:spPr>
              <a:solidFill>
                <a:srgbClr val="9BBB59">
                  <a:lumMod val="75000"/>
                </a:srgbClr>
              </a:solidFill>
            </cx:spPr>
          </cx:dataPt>
          <cx:dataLabels pos="inEnd">
            <cx:spPr>
              <a:solidFill>
                <a:schemeClr val="accent3">
                  <a:lumMod val="60000"/>
                  <a:lumOff val="40000"/>
                </a:schemeClr>
              </a:solidFill>
            </cx:spPr>
            <cx:visibility seriesName="0" categoryName="0" value="1"/>
          </cx:dataLabels>
          <cx:dataId val="0"/>
          <cx:layoutPr>
            <cx:binning intervalClosed="r"/>
          </cx:layoutPr>
        </cx:series>
      </cx:plotAreaRegion>
      <cx:axis id="0">
        <cx:catScaling gapWidth="3.04999995"/>
        <cx:tickLabels/>
      </cx:axis>
      <cx:axis id="1">
        <cx:valScaling/>
        <cx:majorGridlines/>
        <cx:tickLabels/>
      </cx:axis>
    </cx:plotArea>
  </cx:chart>
</cx:chartSpace>
</file>

<file path=word/charts/chartEx3.xml><?xml version="1.0" encoding="utf-8"?>
<cx:chartSpace xmlns:a="http://schemas.openxmlformats.org/drawingml/2006/main" xmlns:r="http://schemas.openxmlformats.org/officeDocument/2006/relationships" xmlns:cx="http://schemas.microsoft.com/office/drawing/2014/chartex">
  <cx:chartData>
    <cx:data id="0">
      <cx:numDim type="val">
        <cx:f>'[Gender Competencies of final year social work students under MG university^J kerala_ A study on knowledge^J skills^J and practice in addressing gender based inequalities and violence.xlsx]Sheet1'!$B$2:$B$101</cx:f>
        <cx:lvl ptCount="100" formatCode="General">
          <cx:pt idx="0">5</cx:pt>
          <cx:pt idx="1">5</cx:pt>
          <cx:pt idx="2">5</cx:pt>
          <cx:pt idx="3">5</cx:pt>
          <cx:pt idx="4">5</cx:pt>
          <cx:pt idx="5">5</cx:pt>
          <cx:pt idx="6">5</cx:pt>
          <cx:pt idx="7">5</cx:pt>
          <cx:pt idx="8">5</cx:pt>
          <cx:pt idx="9">5</cx:pt>
          <cx:pt idx="10">5</cx:pt>
          <cx:pt idx="11">5</cx:pt>
          <cx:pt idx="12">5</cx:pt>
          <cx:pt idx="13">5</cx:pt>
          <cx:pt idx="14">5</cx:pt>
          <cx:pt idx="15">5</cx:pt>
          <cx:pt idx="16">5</cx:pt>
          <cx:pt idx="17">5</cx:pt>
          <cx:pt idx="18">5</cx:pt>
          <cx:pt idx="19">5</cx:pt>
          <cx:pt idx="20">5</cx:pt>
          <cx:pt idx="21">5</cx:pt>
          <cx:pt idx="22">5</cx:pt>
          <cx:pt idx="23">5</cx:pt>
          <cx:pt idx="24">5</cx:pt>
          <cx:pt idx="25">5</cx:pt>
          <cx:pt idx="26">5</cx:pt>
          <cx:pt idx="27">5</cx:pt>
          <cx:pt idx="28">5</cx:pt>
          <cx:pt idx="29">5</cx:pt>
          <cx:pt idx="30">5</cx:pt>
          <cx:pt idx="31">5</cx:pt>
          <cx:pt idx="32">5</cx:pt>
          <cx:pt idx="33">5</cx:pt>
          <cx:pt idx="34">5</cx:pt>
          <cx:pt idx="35">5</cx:pt>
          <cx:pt idx="36">6</cx:pt>
          <cx:pt idx="37">6</cx:pt>
          <cx:pt idx="38">6</cx:pt>
          <cx:pt idx="39">5</cx:pt>
          <cx:pt idx="40">5</cx:pt>
          <cx:pt idx="41">6</cx:pt>
          <cx:pt idx="42">5</cx:pt>
          <cx:pt idx="43">6</cx:pt>
          <cx:pt idx="44">6</cx:pt>
          <cx:pt idx="45">6</cx:pt>
          <cx:pt idx="46">5</cx:pt>
          <cx:pt idx="47">6</cx:pt>
          <cx:pt idx="48">6</cx:pt>
          <cx:pt idx="49">6</cx:pt>
          <cx:pt idx="50">6</cx:pt>
          <cx:pt idx="51">5</cx:pt>
          <cx:pt idx="52">6</cx:pt>
          <cx:pt idx="53">5</cx:pt>
          <cx:pt idx="54">5</cx:pt>
          <cx:pt idx="55">5</cx:pt>
          <cx:pt idx="56">6</cx:pt>
          <cx:pt idx="57">5</cx:pt>
          <cx:pt idx="58">5</cx:pt>
          <cx:pt idx="59">6</cx:pt>
          <cx:pt idx="60">6</cx:pt>
          <cx:pt idx="61">6</cx:pt>
          <cx:pt idx="62">6</cx:pt>
          <cx:pt idx="63">5</cx:pt>
          <cx:pt idx="64">6</cx:pt>
          <cx:pt idx="65">6</cx:pt>
          <cx:pt idx="66">6</cx:pt>
          <cx:pt idx="67">5</cx:pt>
          <cx:pt idx="68">6</cx:pt>
          <cx:pt idx="69">6</cx:pt>
          <cx:pt idx="70">5</cx:pt>
          <cx:pt idx="71">6</cx:pt>
          <cx:pt idx="72">6</cx:pt>
          <cx:pt idx="73">6</cx:pt>
          <cx:pt idx="74">5</cx:pt>
          <cx:pt idx="75">5</cx:pt>
          <cx:pt idx="76">5</cx:pt>
          <cx:pt idx="77">6</cx:pt>
          <cx:pt idx="78">6</cx:pt>
          <cx:pt idx="79">5</cx:pt>
          <cx:pt idx="80">6</cx:pt>
          <cx:pt idx="81">5</cx:pt>
          <cx:pt idx="82">5</cx:pt>
          <cx:pt idx="83">5</cx:pt>
          <cx:pt idx="84">5</cx:pt>
          <cx:pt idx="85">5</cx:pt>
          <cx:pt idx="86">6</cx:pt>
          <cx:pt idx="87">5</cx:pt>
          <cx:pt idx="88">6</cx:pt>
          <cx:pt idx="89">5</cx:pt>
          <cx:pt idx="90">5</cx:pt>
          <cx:pt idx="91">5</cx:pt>
          <cx:pt idx="92">5</cx:pt>
          <cx:pt idx="93">5</cx:pt>
          <cx:pt idx="94">5</cx:pt>
          <cx:pt idx="95">5</cx:pt>
          <cx:pt idx="96">5</cx:pt>
          <cx:pt idx="97">5</cx:pt>
          <cx:pt idx="98">5</cx:pt>
          <cx:pt idx="99">6</cx:pt>
        </cx:lvl>
      </cx:numDim>
    </cx:data>
  </cx:chartData>
  <cx:chart>
    <cx:title pos="t" align="ctr" overlay="0">
      <cx:tx>
        <cx:txData>
          <cx:v>AGE</cx:v>
        </cx:txData>
      </cx:tx>
      <cx:txPr>
        <a:bodyPr spcFirstLastPara="1" vertOverflow="ellipsis" horzOverflow="overflow" wrap="square" lIns="0" tIns="0" rIns="0" bIns="0" anchor="ctr" anchorCtr="1"/>
        <a:lstStyle/>
        <a:p>
          <a:pPr algn="ctr" rtl="0">
            <a:defRPr/>
          </a:pPr>
          <a:r>
            <a:rPr lang="en-US" sz="1400" b="0" i="0" u="none" strike="noStrike" baseline="0">
              <a:solidFill>
                <a:sysClr val="windowText" lastClr="000000">
                  <a:lumMod val="65000"/>
                  <a:lumOff val="35000"/>
                </a:sysClr>
              </a:solidFill>
              <a:latin typeface="Calibri" panose="020F0502020204030204"/>
            </a:rPr>
            <a:t>AGE</a:t>
          </a:r>
        </a:p>
      </cx:txPr>
    </cx:title>
    <cx:plotArea>
      <cx:plotAreaRegion>
        <cx:series layoutId="clusteredColumn" uniqueId="{BE745FB0-A7CA-41B4-8844-86CF59F898B2}">
          <cx:tx>
            <cx:txData>
              <cx:f>'[Gender Competencies of final year social work students under MG university^J kerala_ A study on knowledge^J skills^J and practice in addressing gender based inequalities and violence.xlsx]Sheet1'!$B$1</cx:f>
              <cx:v>3. Age?</cx:v>
            </cx:txData>
          </cx:tx>
          <cx:spPr>
            <a:solidFill>
              <a:schemeClr val="accent5">
                <a:lumMod val="50000"/>
              </a:schemeClr>
            </a:solidFill>
          </cx:spPr>
          <cx:dataPt idx="0">
            <cx:spPr>
              <a:solidFill>
                <a:srgbClr val="4BACC6">
                  <a:lumMod val="75000"/>
                </a:srgbClr>
              </a:solidFill>
            </cx:spPr>
          </cx:dataPt>
          <cx:dataId val="0"/>
          <cx:layoutPr>
            <cx:binning intervalClosed="r"/>
          </cx:layoutPr>
        </cx:series>
      </cx:plotAreaRegion>
      <cx:axis id="0">
        <cx:catScaling gapWidth="2.19000006"/>
        <cx:tickLabels/>
      </cx:axis>
      <cx:axis id="1">
        <cx:valScaling/>
        <cx:majorGridlines/>
        <cx:tickLabels/>
      </cx:axis>
    </cx:plotArea>
  </cx:chart>
</cx: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B6190F-2082-460C-BB63-C583183D35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103</Pages>
  <Words>25438</Words>
  <Characters>161878</Characters>
  <Application>Microsoft Office Word</Application>
  <DocSecurity>0</DocSecurity>
  <Lines>3673</Lines>
  <Paragraphs>846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Teena Thomas</dc:creator>
  <cp:keywords/>
  <dc:description/>
  <cp:lastModifiedBy>Ria Joseph</cp:lastModifiedBy>
  <cp:revision>2</cp:revision>
  <dcterms:created xsi:type="dcterms:W3CDTF">2025-06-17T06:36:00Z</dcterms:created>
  <dcterms:modified xsi:type="dcterms:W3CDTF">2025-06-17T06:36:00Z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d5cf88fe-a517-478e-8ad9-362a04b89519</vt:lpwstr>
  </property>
</Properties>
</file>